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249" w:rsidRPr="00722EDD" w:rsidRDefault="00977249" w:rsidP="00571A63">
      <w:pPr>
        <w:spacing w:line="360" w:lineRule="auto"/>
        <w:jc w:val="both"/>
        <w:rPr>
          <w:b/>
          <w:bCs/>
          <w:lang w:val="en-US" w:eastAsia="en-US"/>
        </w:rPr>
      </w:pPr>
      <w:bookmarkStart w:id="0" w:name="OLE_LINK1"/>
      <w:bookmarkStart w:id="1" w:name="OLE_LINK2"/>
      <w:r>
        <w:rPr>
          <w:b/>
          <w:bCs/>
          <w:lang w:val="en-US" w:eastAsia="en-US"/>
        </w:rPr>
        <w:t xml:space="preserve">Inulin </w:t>
      </w:r>
      <w:r w:rsidRPr="00722EDD">
        <w:rPr>
          <w:b/>
          <w:bCs/>
          <w:lang w:val="en-US" w:eastAsia="en-US"/>
        </w:rPr>
        <w:t xml:space="preserve">addition on </w:t>
      </w:r>
      <w:r w:rsidRPr="006C757E">
        <w:rPr>
          <w:b/>
          <w:bCs/>
          <w:lang w:val="en-US" w:eastAsia="en-US"/>
        </w:rPr>
        <w:t xml:space="preserve">flavored </w:t>
      </w:r>
      <w:r w:rsidR="006C757E" w:rsidRPr="00634F25">
        <w:rPr>
          <w:rStyle w:val="hps"/>
          <w:b/>
          <w:lang w:val="en-US"/>
        </w:rPr>
        <w:t>homemade</w:t>
      </w:r>
      <w:r w:rsidR="006C757E" w:rsidRPr="00634F25">
        <w:rPr>
          <w:rStyle w:val="hps"/>
          <w:lang w:val="en-US"/>
        </w:rPr>
        <w:t xml:space="preserve"> </w:t>
      </w:r>
      <w:r w:rsidRPr="006C757E">
        <w:rPr>
          <w:b/>
          <w:bCs/>
          <w:lang w:val="en-US" w:eastAsia="en-US"/>
        </w:rPr>
        <w:t>breads: physico</w:t>
      </w:r>
      <w:r w:rsidRPr="00722EDD">
        <w:rPr>
          <w:b/>
          <w:bCs/>
          <w:lang w:val="en-US" w:eastAsia="en-US"/>
        </w:rPr>
        <w:t xml:space="preserve">-chemical composition and sensory acceptance among </w:t>
      </w:r>
      <w:r w:rsidR="00872B5C" w:rsidRPr="00634F25">
        <w:rPr>
          <w:rStyle w:val="hpsalt-edited"/>
          <w:b/>
          <w:lang w:val="en-US"/>
        </w:rPr>
        <w:t>schoolchildren</w:t>
      </w:r>
    </w:p>
    <w:bookmarkEnd w:id="0"/>
    <w:bookmarkEnd w:id="1"/>
    <w:p w:rsidR="00977249" w:rsidRDefault="00977249" w:rsidP="00571A63">
      <w:pPr>
        <w:spacing w:line="360" w:lineRule="auto"/>
        <w:jc w:val="both"/>
        <w:rPr>
          <w:b/>
          <w:bCs/>
          <w:lang w:val="en-US"/>
        </w:rPr>
      </w:pPr>
    </w:p>
    <w:p w:rsidR="00AF6DD6" w:rsidRPr="006F7329" w:rsidRDefault="00AF6DD6" w:rsidP="00AF6DD6">
      <w:pPr>
        <w:spacing w:line="360" w:lineRule="auto"/>
        <w:jc w:val="both"/>
        <w:rPr>
          <w:bCs/>
          <w:i/>
        </w:rPr>
      </w:pPr>
      <w:r w:rsidRPr="006F7329">
        <w:rPr>
          <w:bCs/>
          <w:i/>
        </w:rPr>
        <w:t>Adição de inulina em pães caseiros saborizados: composição físico-química e aceitação sensorial entre escolares</w:t>
      </w:r>
    </w:p>
    <w:p w:rsidR="00503818" w:rsidRPr="006F7329" w:rsidRDefault="00503818" w:rsidP="00503818">
      <w:pPr>
        <w:spacing w:line="360" w:lineRule="auto"/>
        <w:jc w:val="both"/>
        <w:rPr>
          <w:i/>
        </w:rPr>
      </w:pPr>
    </w:p>
    <w:p w:rsidR="00503818" w:rsidRDefault="00503818" w:rsidP="00503818">
      <w:pPr>
        <w:spacing w:line="360" w:lineRule="auto"/>
        <w:jc w:val="both"/>
        <w:rPr>
          <w:vertAlign w:val="superscript"/>
        </w:rPr>
      </w:pPr>
      <w:r w:rsidRPr="003D23C9">
        <w:t>Jaqueline Hack</w:t>
      </w:r>
      <w:r w:rsidR="009A6079" w:rsidRPr="003D23C9">
        <w:rPr>
          <w:vertAlign w:val="superscript"/>
        </w:rPr>
        <w:t>1</w:t>
      </w:r>
      <w:r w:rsidRPr="003D23C9">
        <w:t>, Michele Dal Santos</w:t>
      </w:r>
      <w:r w:rsidRPr="003D23C9">
        <w:rPr>
          <w:vertAlign w:val="superscript"/>
        </w:rPr>
        <w:t>1</w:t>
      </w:r>
      <w:r w:rsidRPr="003D23C9">
        <w:t>, Elisvânia Freitas dos Santos</w:t>
      </w:r>
      <w:r w:rsidRPr="003D23C9">
        <w:rPr>
          <w:vertAlign w:val="superscript"/>
        </w:rPr>
        <w:t>2</w:t>
      </w:r>
      <w:r w:rsidRPr="003D23C9">
        <w:t>, Fabiane La Flor Ziegler Sanches</w:t>
      </w:r>
      <w:r w:rsidRPr="003D23C9">
        <w:rPr>
          <w:vertAlign w:val="superscript"/>
        </w:rPr>
        <w:t>2</w:t>
      </w:r>
      <w:r w:rsidRPr="003D23C9">
        <w:t>, Maria Raquel Manhani</w:t>
      </w:r>
      <w:r w:rsidR="00C62F09">
        <w:rPr>
          <w:vertAlign w:val="superscript"/>
        </w:rPr>
        <w:t>3</w:t>
      </w:r>
      <w:r w:rsidR="00C62F09" w:rsidRPr="003D23C9">
        <w:t>,</w:t>
      </w:r>
      <w:r w:rsidR="00C62F09">
        <w:t xml:space="preserve"> </w:t>
      </w:r>
      <w:r w:rsidR="00C62F09" w:rsidRPr="003D23C9">
        <w:t>Daiana Novello</w:t>
      </w:r>
      <w:r w:rsidR="00C62F09">
        <w:rPr>
          <w:vertAlign w:val="superscript"/>
        </w:rPr>
        <w:t>4(</w:t>
      </w:r>
      <w:r w:rsidR="00C62F09" w:rsidRPr="00A35E80">
        <w:rPr>
          <w:vertAlign w:val="superscript"/>
        </w:rPr>
        <w:t>*)</w:t>
      </w:r>
    </w:p>
    <w:p w:rsidR="00E04078" w:rsidRDefault="00E04078" w:rsidP="00503818">
      <w:pPr>
        <w:spacing w:line="360" w:lineRule="auto"/>
        <w:jc w:val="both"/>
        <w:rPr>
          <w:vertAlign w:val="superscript"/>
        </w:rPr>
      </w:pPr>
    </w:p>
    <w:p w:rsidR="003D2C38" w:rsidRDefault="003D2C38" w:rsidP="00503818">
      <w:pPr>
        <w:spacing w:line="360" w:lineRule="auto"/>
        <w:jc w:val="both"/>
        <w:rPr>
          <w:vertAlign w:val="superscript"/>
        </w:rPr>
      </w:pPr>
    </w:p>
    <w:p w:rsidR="003D2C38" w:rsidRPr="00AF6DD6" w:rsidRDefault="003D2C38" w:rsidP="003D2C38">
      <w:pPr>
        <w:pStyle w:val="Textodenotaderodap"/>
        <w:spacing w:line="360" w:lineRule="auto"/>
        <w:jc w:val="both"/>
        <w:rPr>
          <w:sz w:val="24"/>
          <w:szCs w:val="24"/>
        </w:rPr>
      </w:pPr>
      <w:r w:rsidRPr="000A5F98">
        <w:rPr>
          <w:rStyle w:val="Refdenotaderodap"/>
          <w:sz w:val="24"/>
          <w:szCs w:val="24"/>
        </w:rPr>
        <w:footnoteRef/>
      </w:r>
      <w:r w:rsidRPr="000A5F98">
        <w:rPr>
          <w:sz w:val="24"/>
          <w:szCs w:val="24"/>
        </w:rPr>
        <w:t xml:space="preserve">Nutricionista; </w:t>
      </w:r>
      <w:r w:rsidRPr="00AF6DD6">
        <w:rPr>
          <w:sz w:val="24"/>
          <w:szCs w:val="24"/>
        </w:rPr>
        <w:t xml:space="preserve">Departamento de Nutrição, Universidade Estadual do Centro-Oeste, UNICENTRO, Guarapuava, PR. E-mail: </w:t>
      </w:r>
      <w:hyperlink r:id="rId7" w:history="1">
        <w:r w:rsidR="00AF6DD6" w:rsidRPr="00AF6DD6">
          <w:rPr>
            <w:rStyle w:val="Hyperlink"/>
            <w:sz w:val="24"/>
            <w:szCs w:val="24"/>
            <w:shd w:val="clear" w:color="auto" w:fill="FFFFFF"/>
          </w:rPr>
          <w:t>jaq_hack@hotmail.com</w:t>
        </w:r>
      </w:hyperlink>
      <w:r w:rsidR="00AF6DD6" w:rsidRPr="00AF6DD6">
        <w:rPr>
          <w:sz w:val="24"/>
          <w:szCs w:val="24"/>
          <w:shd w:val="clear" w:color="auto" w:fill="FFFFFF"/>
        </w:rPr>
        <w:t>; micheledalsantos@hotmail.com</w:t>
      </w:r>
      <w:r w:rsidRPr="00AF6DD6">
        <w:rPr>
          <w:sz w:val="24"/>
          <w:szCs w:val="24"/>
        </w:rPr>
        <w:t>.</w:t>
      </w:r>
    </w:p>
    <w:p w:rsidR="003D2C38" w:rsidRPr="000A5F98" w:rsidRDefault="00BD1DF2" w:rsidP="003D2C38">
      <w:pPr>
        <w:pStyle w:val="Textodenotaderodap"/>
        <w:spacing w:line="360" w:lineRule="auto"/>
        <w:jc w:val="both"/>
        <w:rPr>
          <w:sz w:val="24"/>
          <w:szCs w:val="24"/>
        </w:rPr>
      </w:pPr>
      <w:r>
        <w:rPr>
          <w:rStyle w:val="Refdenotaderodap"/>
          <w:sz w:val="24"/>
          <w:szCs w:val="24"/>
        </w:rPr>
        <w:t>2</w:t>
      </w:r>
      <w:r w:rsidR="003D2C38" w:rsidRPr="000A5F98">
        <w:rPr>
          <w:sz w:val="24"/>
          <w:szCs w:val="24"/>
        </w:rPr>
        <w:t xml:space="preserve">Drª.; Nutricionista; Professora adjunta do Departamento de Nutrição, Universidade Federal do Mato Grosso do Sul, UFMS, </w:t>
      </w:r>
      <w:r w:rsidR="003D2C38" w:rsidRPr="000A5F98">
        <w:rPr>
          <w:rStyle w:val="kno-fv-vqfl"/>
          <w:sz w:val="24"/>
          <w:szCs w:val="24"/>
        </w:rPr>
        <w:t>Campo Grande</w:t>
      </w:r>
      <w:r w:rsidR="003D2C38" w:rsidRPr="000A5F98">
        <w:rPr>
          <w:sz w:val="24"/>
          <w:szCs w:val="24"/>
        </w:rPr>
        <w:t xml:space="preserve">, MS. E-mail: </w:t>
      </w:r>
      <w:r w:rsidR="003D2C38" w:rsidRPr="000A5F98">
        <w:rPr>
          <w:rStyle w:val="blockemailwithname2"/>
          <w:sz w:val="24"/>
          <w:szCs w:val="24"/>
        </w:rPr>
        <w:t>elisvania@gmail.com;</w:t>
      </w:r>
      <w:r w:rsidR="003D2C38" w:rsidRPr="000A5F98">
        <w:rPr>
          <w:sz w:val="24"/>
          <w:szCs w:val="24"/>
        </w:rPr>
        <w:t xml:space="preserve"> </w:t>
      </w:r>
      <w:r w:rsidR="003D2C38" w:rsidRPr="000A5F98">
        <w:rPr>
          <w:rStyle w:val="blockemailnoname2"/>
          <w:sz w:val="24"/>
          <w:szCs w:val="24"/>
        </w:rPr>
        <w:t>fabianelaflor@gmail.com.</w:t>
      </w:r>
    </w:p>
    <w:p w:rsidR="003D2C38" w:rsidRDefault="00C62F09" w:rsidP="003D2C38">
      <w:pPr>
        <w:pStyle w:val="Textodenotaderodap"/>
        <w:spacing w:line="360" w:lineRule="auto"/>
        <w:jc w:val="both"/>
        <w:rPr>
          <w:sz w:val="24"/>
          <w:szCs w:val="24"/>
        </w:rPr>
      </w:pPr>
      <w:r>
        <w:rPr>
          <w:rStyle w:val="Refdenotaderodap"/>
          <w:sz w:val="24"/>
          <w:szCs w:val="24"/>
        </w:rPr>
        <w:t>3</w:t>
      </w:r>
      <w:r w:rsidR="003D2C38" w:rsidRPr="000A5F98">
        <w:rPr>
          <w:sz w:val="24"/>
          <w:szCs w:val="24"/>
        </w:rPr>
        <w:t xml:space="preserve">Drª.; Química Tecnológica; Professora adjunta do Departamento de Farmácia e Nutrição, Universidade São Judas Tadeu, São Paulo, SP. E-mail: rmanhani@yahoo.com.br.  </w:t>
      </w:r>
    </w:p>
    <w:p w:rsidR="00C62F09" w:rsidRPr="006E5DF5" w:rsidRDefault="00C62F09" w:rsidP="00C62F09">
      <w:pPr>
        <w:autoSpaceDE w:val="0"/>
        <w:autoSpaceDN w:val="0"/>
        <w:adjustRightInd w:val="0"/>
        <w:spacing w:line="360" w:lineRule="auto"/>
        <w:jc w:val="both"/>
      </w:pPr>
      <w:r>
        <w:rPr>
          <w:rStyle w:val="Refdenotaderodap"/>
        </w:rPr>
        <w:t>4</w:t>
      </w:r>
      <w:r w:rsidRPr="00AF6DD6">
        <w:t>Drª.; Nutricionista; Professora adjunta do Departamento de Nutrição e do Programa de Pós-Graduação Interdisciplinar em Desenvolvimento Comunitário, UNICENTRO. Endereço: Caixa Postal 35, CEP: 85010-000, Guarapuava, PR,</w:t>
      </w:r>
      <w:r w:rsidRPr="000A5F98">
        <w:t xml:space="preserve"> (42) 3629 8182. E-mail: nutridai@hotmail.com. </w:t>
      </w:r>
      <w:r>
        <w:t>(</w:t>
      </w:r>
      <w:r w:rsidRPr="006E5DF5">
        <w:t>*) Autor para correspondência.</w:t>
      </w:r>
    </w:p>
    <w:p w:rsidR="00C62F09" w:rsidRPr="000A5F98" w:rsidRDefault="00C62F09" w:rsidP="003D2C38">
      <w:pPr>
        <w:pStyle w:val="Textodenotaderodap"/>
        <w:spacing w:line="360" w:lineRule="auto"/>
        <w:jc w:val="both"/>
        <w:rPr>
          <w:sz w:val="24"/>
          <w:szCs w:val="24"/>
        </w:rPr>
      </w:pPr>
    </w:p>
    <w:p w:rsidR="003D2C38" w:rsidRDefault="003D2C38" w:rsidP="00503818">
      <w:pPr>
        <w:spacing w:line="360" w:lineRule="auto"/>
        <w:jc w:val="both"/>
      </w:pPr>
    </w:p>
    <w:p w:rsidR="00AF6DD6" w:rsidRDefault="00AF6DD6" w:rsidP="00503818">
      <w:pPr>
        <w:spacing w:line="360" w:lineRule="auto"/>
        <w:jc w:val="both"/>
      </w:pPr>
    </w:p>
    <w:p w:rsidR="00AF6DD6" w:rsidRPr="003D23C9" w:rsidRDefault="00AF6DD6" w:rsidP="00503818">
      <w:pPr>
        <w:spacing w:line="360" w:lineRule="auto"/>
        <w:jc w:val="both"/>
      </w:pPr>
    </w:p>
    <w:p w:rsidR="00571A63" w:rsidRDefault="00571A63" w:rsidP="00571A63">
      <w:pPr>
        <w:spacing w:line="360" w:lineRule="auto"/>
        <w:jc w:val="both"/>
        <w:rPr>
          <w:b/>
          <w:bCs/>
        </w:rPr>
      </w:pPr>
    </w:p>
    <w:p w:rsidR="00E04078" w:rsidRDefault="00E04078" w:rsidP="00571A63">
      <w:pPr>
        <w:spacing w:line="360" w:lineRule="auto"/>
        <w:jc w:val="both"/>
        <w:rPr>
          <w:b/>
          <w:bCs/>
        </w:rPr>
      </w:pPr>
    </w:p>
    <w:p w:rsidR="000000BD" w:rsidRDefault="000000BD" w:rsidP="00571A63">
      <w:pPr>
        <w:spacing w:line="360" w:lineRule="auto"/>
        <w:jc w:val="both"/>
        <w:rPr>
          <w:b/>
          <w:bCs/>
        </w:rPr>
      </w:pPr>
    </w:p>
    <w:p w:rsidR="000000BD" w:rsidRDefault="000000BD" w:rsidP="00571A63">
      <w:pPr>
        <w:spacing w:line="360" w:lineRule="auto"/>
        <w:jc w:val="both"/>
        <w:rPr>
          <w:b/>
          <w:bCs/>
        </w:rPr>
      </w:pPr>
    </w:p>
    <w:p w:rsidR="000000BD" w:rsidRDefault="000000BD" w:rsidP="00571A63">
      <w:pPr>
        <w:spacing w:line="360" w:lineRule="auto"/>
        <w:jc w:val="both"/>
        <w:rPr>
          <w:b/>
          <w:bCs/>
        </w:rPr>
      </w:pPr>
    </w:p>
    <w:p w:rsidR="009A6079" w:rsidRDefault="009A6079" w:rsidP="00571A63">
      <w:pPr>
        <w:spacing w:line="360" w:lineRule="auto"/>
        <w:jc w:val="both"/>
        <w:rPr>
          <w:b/>
          <w:bCs/>
        </w:rPr>
      </w:pPr>
    </w:p>
    <w:p w:rsidR="009A6079" w:rsidRDefault="009A6079" w:rsidP="00571A63">
      <w:pPr>
        <w:spacing w:line="360" w:lineRule="auto"/>
        <w:jc w:val="both"/>
        <w:rPr>
          <w:b/>
          <w:bCs/>
        </w:rPr>
      </w:pPr>
    </w:p>
    <w:p w:rsidR="009A6079" w:rsidRDefault="009A6079" w:rsidP="00571A63">
      <w:pPr>
        <w:spacing w:line="360" w:lineRule="auto"/>
        <w:jc w:val="both"/>
        <w:rPr>
          <w:b/>
          <w:bCs/>
        </w:rPr>
      </w:pPr>
    </w:p>
    <w:p w:rsidR="009A6079" w:rsidRDefault="009A6079" w:rsidP="00571A63">
      <w:pPr>
        <w:spacing w:line="360" w:lineRule="auto"/>
        <w:jc w:val="both"/>
        <w:rPr>
          <w:b/>
          <w:bCs/>
        </w:rPr>
      </w:pPr>
    </w:p>
    <w:p w:rsidR="00E04078" w:rsidRDefault="00E04078" w:rsidP="00571A63">
      <w:pPr>
        <w:spacing w:line="360" w:lineRule="auto"/>
        <w:jc w:val="both"/>
        <w:rPr>
          <w:b/>
          <w:bCs/>
        </w:rPr>
      </w:pPr>
    </w:p>
    <w:p w:rsidR="00977249" w:rsidRDefault="00977249" w:rsidP="001C0CEC">
      <w:pPr>
        <w:jc w:val="both"/>
        <w:rPr>
          <w:lang w:val="en-US" w:eastAsia="en-US"/>
        </w:rPr>
      </w:pPr>
      <w:r w:rsidRPr="003967F5">
        <w:rPr>
          <w:b/>
          <w:bCs/>
          <w:lang w:val="en-US" w:eastAsia="en-US"/>
        </w:rPr>
        <w:lastRenderedPageBreak/>
        <w:t>ABSTRACT</w:t>
      </w:r>
      <w:r w:rsidR="003967F5" w:rsidRPr="003967F5">
        <w:rPr>
          <w:b/>
          <w:bCs/>
          <w:lang w:val="en-US" w:eastAsia="en-US"/>
        </w:rPr>
        <w:t xml:space="preserve">. </w:t>
      </w:r>
      <w:r w:rsidRPr="009D41CB">
        <w:rPr>
          <w:lang w:val="en-US" w:eastAsia="en-US"/>
        </w:rPr>
        <w:t xml:space="preserve">The study expected to verify the sensory acceptability in flavored </w:t>
      </w:r>
      <w:r w:rsidR="006C757E" w:rsidRPr="00634F25">
        <w:rPr>
          <w:rStyle w:val="hps"/>
          <w:lang w:val="en-US"/>
        </w:rPr>
        <w:t>homemade</w:t>
      </w:r>
      <w:r w:rsidR="006C757E" w:rsidRPr="006C757E">
        <w:rPr>
          <w:lang w:val="en-US" w:eastAsia="en-US"/>
        </w:rPr>
        <w:t xml:space="preserve"> </w:t>
      </w:r>
      <w:r w:rsidRPr="006C757E">
        <w:rPr>
          <w:lang w:val="en-US" w:eastAsia="en-US"/>
        </w:rPr>
        <w:t>breads</w:t>
      </w:r>
      <w:r w:rsidRPr="009D41CB">
        <w:rPr>
          <w:lang w:val="en-US" w:eastAsia="en-US"/>
        </w:rPr>
        <w:t xml:space="preserve"> </w:t>
      </w:r>
      <w:r w:rsidR="00B4100E" w:rsidRPr="00B4100E">
        <w:rPr>
          <w:lang w:val="en-US" w:eastAsia="en-US"/>
        </w:rPr>
        <w:t xml:space="preserve">with pineapple peel tea </w:t>
      </w:r>
      <w:r w:rsidR="00B4100E">
        <w:rPr>
          <w:lang w:val="en-US" w:eastAsia="en-US"/>
        </w:rPr>
        <w:t xml:space="preserve">and </w:t>
      </w:r>
      <w:r w:rsidRPr="009D41CB">
        <w:rPr>
          <w:lang w:val="en-US" w:eastAsia="en-US"/>
        </w:rPr>
        <w:t>added</w:t>
      </w:r>
      <w:r>
        <w:rPr>
          <w:lang w:val="en-US" w:eastAsia="en-US"/>
        </w:rPr>
        <w:t xml:space="preserve"> with</w:t>
      </w:r>
      <w:r w:rsidRPr="009D41CB">
        <w:rPr>
          <w:lang w:val="en-US" w:eastAsia="en-US"/>
        </w:rPr>
        <w:t xml:space="preserve"> inulin</w:t>
      </w:r>
      <w:r w:rsidR="00B4100E">
        <w:rPr>
          <w:lang w:val="en-US" w:eastAsia="en-US"/>
        </w:rPr>
        <w:t>, well as</w:t>
      </w:r>
      <w:r w:rsidRPr="009D41CB">
        <w:rPr>
          <w:lang w:val="en-US" w:eastAsia="en-US"/>
        </w:rPr>
        <w:t xml:space="preserve"> verify the physic</w:t>
      </w:r>
      <w:r w:rsidR="00B4100E">
        <w:rPr>
          <w:lang w:val="en-US" w:eastAsia="en-US"/>
        </w:rPr>
        <w:t>o-</w:t>
      </w:r>
      <w:r w:rsidRPr="009D41CB">
        <w:rPr>
          <w:lang w:val="en-US" w:eastAsia="en-US"/>
        </w:rPr>
        <w:t xml:space="preserve">chemical composition of the traditional formulation which containing the highest inulin level and sensory acceptance similar to the standard. Were used five bread formulations which: standard </w:t>
      </w:r>
      <w:r w:rsidR="00634F25">
        <w:rPr>
          <w:lang w:val="en-US" w:eastAsia="en-US"/>
        </w:rPr>
        <w:t xml:space="preserve">(F1) </w:t>
      </w:r>
      <w:r w:rsidRPr="009D41CB">
        <w:rPr>
          <w:lang w:val="en-US" w:eastAsia="en-US"/>
        </w:rPr>
        <w:t xml:space="preserve">and others added </w:t>
      </w:r>
      <w:r>
        <w:rPr>
          <w:lang w:val="en-US" w:eastAsia="en-US"/>
        </w:rPr>
        <w:t>in 20%</w:t>
      </w:r>
      <w:r w:rsidR="00634F25">
        <w:rPr>
          <w:lang w:val="en-US" w:eastAsia="en-US"/>
        </w:rPr>
        <w:t xml:space="preserve"> (F2)</w:t>
      </w:r>
      <w:r>
        <w:rPr>
          <w:lang w:val="en-US" w:eastAsia="en-US"/>
        </w:rPr>
        <w:t>, 25%</w:t>
      </w:r>
      <w:r w:rsidR="00634F25">
        <w:rPr>
          <w:lang w:val="en-US" w:eastAsia="en-US"/>
        </w:rPr>
        <w:t xml:space="preserve"> (F3)</w:t>
      </w:r>
      <w:r>
        <w:rPr>
          <w:lang w:val="en-US" w:eastAsia="en-US"/>
        </w:rPr>
        <w:t>, 30%</w:t>
      </w:r>
      <w:r w:rsidR="00634F25">
        <w:rPr>
          <w:lang w:val="en-US" w:eastAsia="en-US"/>
        </w:rPr>
        <w:t xml:space="preserve"> (F4)</w:t>
      </w:r>
      <w:r>
        <w:rPr>
          <w:lang w:val="en-US" w:eastAsia="en-US"/>
        </w:rPr>
        <w:t xml:space="preserve"> and 35%</w:t>
      </w:r>
      <w:r w:rsidR="00634F25">
        <w:rPr>
          <w:lang w:val="en-US" w:eastAsia="en-US"/>
        </w:rPr>
        <w:t xml:space="preserve"> (F5)</w:t>
      </w:r>
      <w:r>
        <w:rPr>
          <w:lang w:val="en-US" w:eastAsia="en-US"/>
        </w:rPr>
        <w:t xml:space="preserve"> with</w:t>
      </w:r>
      <w:r w:rsidRPr="009D41CB">
        <w:rPr>
          <w:lang w:val="en-US" w:eastAsia="en-US"/>
        </w:rPr>
        <w:t xml:space="preserve"> inulin. Participated in the</w:t>
      </w:r>
      <w:r>
        <w:rPr>
          <w:lang w:val="en-US" w:eastAsia="en-US"/>
        </w:rPr>
        <w:t xml:space="preserve"> sensory analysis 50 untrained judges</w:t>
      </w:r>
      <w:r w:rsidRPr="009D41CB">
        <w:rPr>
          <w:lang w:val="en-US" w:eastAsia="en-US"/>
        </w:rPr>
        <w:t xml:space="preserve">, from both </w:t>
      </w:r>
      <w:r w:rsidRPr="005502F0">
        <w:rPr>
          <w:lang w:val="en-US" w:eastAsia="en-US"/>
        </w:rPr>
        <w:t>genders, between 7 and 10</w:t>
      </w:r>
      <w:r w:rsidR="00655C76" w:rsidRPr="005502F0">
        <w:rPr>
          <w:lang w:val="en-US" w:eastAsia="en-US"/>
        </w:rPr>
        <w:t xml:space="preserve"> years. In the physico</w:t>
      </w:r>
      <w:r w:rsidRPr="005502F0">
        <w:rPr>
          <w:lang w:val="en-US" w:eastAsia="en-US"/>
        </w:rPr>
        <w:t xml:space="preserve">-chemical analysis were set up moisture content, ash, protein, fat, carbohydrates, crude fiber and calories. Sensorially, </w:t>
      </w:r>
      <w:r w:rsidR="004251D0" w:rsidRPr="00634F25">
        <w:rPr>
          <w:rStyle w:val="hps"/>
          <w:lang w:val="en-US"/>
        </w:rPr>
        <w:t>F5</w:t>
      </w:r>
      <w:r w:rsidR="004251D0" w:rsidRPr="00634F25">
        <w:rPr>
          <w:lang w:val="en-US"/>
        </w:rPr>
        <w:t xml:space="preserve"> </w:t>
      </w:r>
      <w:r w:rsidR="004251D0" w:rsidRPr="00634F25">
        <w:rPr>
          <w:rStyle w:val="hps"/>
          <w:lang w:val="en-US"/>
        </w:rPr>
        <w:t>sample</w:t>
      </w:r>
      <w:r w:rsidR="004251D0" w:rsidRPr="00634F25">
        <w:rPr>
          <w:lang w:val="en-US"/>
        </w:rPr>
        <w:t xml:space="preserve"> </w:t>
      </w:r>
      <w:r w:rsidR="004251D0" w:rsidRPr="00634F25">
        <w:rPr>
          <w:rStyle w:val="hps"/>
          <w:lang w:val="en-US"/>
        </w:rPr>
        <w:t>had lower</w:t>
      </w:r>
      <w:r w:rsidR="004251D0" w:rsidRPr="00634F25">
        <w:rPr>
          <w:lang w:val="en-US"/>
        </w:rPr>
        <w:t xml:space="preserve"> </w:t>
      </w:r>
      <w:r w:rsidR="004251D0" w:rsidRPr="00634F25">
        <w:rPr>
          <w:rStyle w:val="hps"/>
          <w:lang w:val="en-US"/>
        </w:rPr>
        <w:t>scores</w:t>
      </w:r>
      <w:r w:rsidR="004251D0" w:rsidRPr="00634F25">
        <w:rPr>
          <w:lang w:val="en-US"/>
        </w:rPr>
        <w:t xml:space="preserve"> </w:t>
      </w:r>
      <w:r w:rsidR="004251D0" w:rsidRPr="00634F25">
        <w:rPr>
          <w:rStyle w:val="hps"/>
          <w:lang w:val="en-US"/>
        </w:rPr>
        <w:t>than other</w:t>
      </w:r>
      <w:r w:rsidR="004251D0" w:rsidRPr="00634F25">
        <w:rPr>
          <w:lang w:val="en-US"/>
        </w:rPr>
        <w:t xml:space="preserve"> </w:t>
      </w:r>
      <w:r w:rsidR="004251D0" w:rsidRPr="00634F25">
        <w:rPr>
          <w:rStyle w:val="hps"/>
          <w:lang w:val="en-US"/>
        </w:rPr>
        <w:t>in</w:t>
      </w:r>
      <w:r w:rsidR="004251D0" w:rsidRPr="00634F25">
        <w:rPr>
          <w:lang w:val="en-US"/>
        </w:rPr>
        <w:t xml:space="preserve"> </w:t>
      </w:r>
      <w:r w:rsidR="004251D0" w:rsidRPr="00634F25">
        <w:rPr>
          <w:rStyle w:val="hps"/>
          <w:lang w:val="en-US"/>
        </w:rPr>
        <w:t>appearance</w:t>
      </w:r>
      <w:r w:rsidR="004251D0" w:rsidRPr="00634F25">
        <w:rPr>
          <w:lang w:val="en-US"/>
        </w:rPr>
        <w:t xml:space="preserve"> </w:t>
      </w:r>
      <w:r w:rsidR="004251D0" w:rsidRPr="00634F25">
        <w:rPr>
          <w:rStyle w:val="hps"/>
          <w:lang w:val="en-US"/>
        </w:rPr>
        <w:t>and lower</w:t>
      </w:r>
      <w:r w:rsidR="004251D0" w:rsidRPr="00634F25">
        <w:rPr>
          <w:lang w:val="en-US"/>
        </w:rPr>
        <w:t xml:space="preserve"> </w:t>
      </w:r>
      <w:r w:rsidR="004251D0" w:rsidRPr="00634F25">
        <w:rPr>
          <w:rStyle w:val="hps"/>
          <w:lang w:val="en-US"/>
        </w:rPr>
        <w:t>scores that the standard sample</w:t>
      </w:r>
      <w:r w:rsidR="004251D0" w:rsidRPr="00634F25">
        <w:rPr>
          <w:lang w:val="en-US"/>
        </w:rPr>
        <w:t xml:space="preserve"> </w:t>
      </w:r>
      <w:r w:rsidR="004251D0" w:rsidRPr="00634F25">
        <w:rPr>
          <w:rStyle w:val="hps"/>
          <w:lang w:val="en-US"/>
        </w:rPr>
        <w:t>for the flavor attribute</w:t>
      </w:r>
      <w:r w:rsidR="00A44B90" w:rsidRPr="00634F25">
        <w:rPr>
          <w:rStyle w:val="hps"/>
          <w:lang w:val="en-US"/>
        </w:rPr>
        <w:t xml:space="preserve"> </w:t>
      </w:r>
      <w:r w:rsidR="00A44B90">
        <w:rPr>
          <w:lang w:val="en-US"/>
        </w:rPr>
        <w:t>(p&lt;0.</w:t>
      </w:r>
      <w:r w:rsidR="00A44B90" w:rsidRPr="00A44B90">
        <w:rPr>
          <w:lang w:val="en-US"/>
        </w:rPr>
        <w:t>05)</w:t>
      </w:r>
      <w:r w:rsidR="004251D0" w:rsidRPr="00634F25">
        <w:rPr>
          <w:rStyle w:val="hps"/>
          <w:lang w:val="en-US"/>
        </w:rPr>
        <w:t>.</w:t>
      </w:r>
      <w:r w:rsidR="004251D0" w:rsidRPr="00634F25">
        <w:rPr>
          <w:lang w:val="en-US"/>
        </w:rPr>
        <w:t xml:space="preserve"> </w:t>
      </w:r>
      <w:r w:rsidR="004251D0" w:rsidRPr="00634F25">
        <w:rPr>
          <w:rStyle w:val="hps"/>
          <w:lang w:val="en-US"/>
        </w:rPr>
        <w:t>Therefore, the sample</w:t>
      </w:r>
      <w:r w:rsidR="004251D0" w:rsidRPr="00634F25">
        <w:rPr>
          <w:lang w:val="en-US"/>
        </w:rPr>
        <w:t xml:space="preserve"> </w:t>
      </w:r>
      <w:r w:rsidR="004251D0" w:rsidRPr="00634F25">
        <w:rPr>
          <w:rStyle w:val="hps"/>
          <w:lang w:val="en-US"/>
        </w:rPr>
        <w:t>with 30</w:t>
      </w:r>
      <w:r w:rsidR="004251D0" w:rsidRPr="00634F25">
        <w:rPr>
          <w:lang w:val="en-US"/>
        </w:rPr>
        <w:t xml:space="preserve">% inulin </w:t>
      </w:r>
      <w:r w:rsidR="004251D0" w:rsidRPr="00634F25">
        <w:rPr>
          <w:rStyle w:val="hps"/>
          <w:lang w:val="en-US"/>
        </w:rPr>
        <w:t>was regarded</w:t>
      </w:r>
      <w:r w:rsidR="004251D0" w:rsidRPr="00634F25">
        <w:rPr>
          <w:lang w:val="en-US"/>
        </w:rPr>
        <w:t xml:space="preserve"> </w:t>
      </w:r>
      <w:r w:rsidR="004251D0" w:rsidRPr="00634F25">
        <w:rPr>
          <w:rStyle w:val="hps"/>
          <w:lang w:val="en-US"/>
        </w:rPr>
        <w:t xml:space="preserve">as the product </w:t>
      </w:r>
      <w:r w:rsidRPr="005502F0">
        <w:rPr>
          <w:lang w:val="en-US" w:eastAsia="en-US"/>
        </w:rPr>
        <w:t>with a higher content of ingredient and sensory acceptance like the standard. In physico-chemical composition, the sample with 30% inulin had lower moisture</w:t>
      </w:r>
      <w:r w:rsidR="00812D81">
        <w:rPr>
          <w:lang w:val="en-US" w:eastAsia="en-US"/>
        </w:rPr>
        <w:t>,</w:t>
      </w:r>
      <w:r w:rsidRPr="005502F0">
        <w:rPr>
          <w:lang w:val="en-US" w:eastAsia="en-US"/>
        </w:rPr>
        <w:t xml:space="preserve"> </w:t>
      </w:r>
      <w:r w:rsidR="00722EDD" w:rsidRPr="005502F0">
        <w:rPr>
          <w:lang w:val="en-US" w:eastAsia="en-US"/>
        </w:rPr>
        <w:t xml:space="preserve">protein </w:t>
      </w:r>
      <w:r w:rsidR="00812D81">
        <w:rPr>
          <w:lang w:val="en-US" w:eastAsia="en-US"/>
        </w:rPr>
        <w:t>and</w:t>
      </w:r>
      <w:r w:rsidR="00812D81" w:rsidRPr="005502F0">
        <w:rPr>
          <w:lang w:val="en-US" w:eastAsia="en-US"/>
        </w:rPr>
        <w:t xml:space="preserve"> </w:t>
      </w:r>
      <w:r w:rsidR="00812D81">
        <w:rPr>
          <w:lang w:val="en-US" w:eastAsia="en-US"/>
        </w:rPr>
        <w:t xml:space="preserve">calories </w:t>
      </w:r>
      <w:r w:rsidRPr="005502F0">
        <w:rPr>
          <w:lang w:val="en-US" w:eastAsia="en-US"/>
        </w:rPr>
        <w:t xml:space="preserve">content, </w:t>
      </w:r>
      <w:r w:rsidR="00722EDD" w:rsidRPr="005502F0">
        <w:rPr>
          <w:lang w:val="en-US" w:eastAsia="en-US"/>
        </w:rPr>
        <w:t xml:space="preserve">and </w:t>
      </w:r>
      <w:r w:rsidRPr="005502F0">
        <w:rPr>
          <w:lang w:val="en-US" w:eastAsia="en-US"/>
        </w:rPr>
        <w:t>higher carbohydrates</w:t>
      </w:r>
      <w:r w:rsidRPr="009D41CB">
        <w:rPr>
          <w:lang w:val="en-US" w:eastAsia="en-US"/>
        </w:rPr>
        <w:t xml:space="preserve"> </w:t>
      </w:r>
      <w:r>
        <w:rPr>
          <w:lang w:val="en-US" w:eastAsia="en-US"/>
        </w:rPr>
        <w:t xml:space="preserve">and crude fiber </w:t>
      </w:r>
      <w:r w:rsidR="00722EDD">
        <w:rPr>
          <w:lang w:val="en-US" w:eastAsia="en-US"/>
        </w:rPr>
        <w:t xml:space="preserve">content </w:t>
      </w:r>
      <w:r w:rsidRPr="009D41CB">
        <w:rPr>
          <w:lang w:val="en-US" w:eastAsia="en-US"/>
        </w:rPr>
        <w:t xml:space="preserve">than the standard. Thus, the products development has demonstrated that an addition level up to 30% inulin </w:t>
      </w:r>
      <w:r w:rsidRPr="00972172">
        <w:rPr>
          <w:lang w:val="en-US" w:eastAsia="en-US"/>
        </w:rPr>
        <w:t xml:space="preserve">in </w:t>
      </w:r>
      <w:r>
        <w:rPr>
          <w:lang w:val="en-US" w:eastAsia="en-US"/>
        </w:rPr>
        <w:t>sliced loaves</w:t>
      </w:r>
      <w:r w:rsidRPr="009D41CB">
        <w:rPr>
          <w:lang w:val="en-US" w:eastAsia="en-US"/>
        </w:rPr>
        <w:t xml:space="preserve"> </w:t>
      </w:r>
      <w:r>
        <w:rPr>
          <w:lang w:val="en-US" w:eastAsia="en-US"/>
        </w:rPr>
        <w:t>was better accepted,</w:t>
      </w:r>
      <w:r w:rsidRPr="009D41CB">
        <w:rPr>
          <w:b/>
          <w:bCs/>
          <w:lang w:val="en-US"/>
        </w:rPr>
        <w:t xml:space="preserve"> </w:t>
      </w:r>
      <w:r w:rsidRPr="009D41CB">
        <w:rPr>
          <w:lang w:val="en-US" w:eastAsia="en-US"/>
        </w:rPr>
        <w:t>to give sensory acceptance similar to standard product and good sales expectations.</w:t>
      </w:r>
    </w:p>
    <w:p w:rsidR="00977249" w:rsidRDefault="00977249" w:rsidP="001C0CEC">
      <w:pPr>
        <w:jc w:val="both"/>
        <w:rPr>
          <w:lang w:val="en-US" w:eastAsia="en-US"/>
        </w:rPr>
      </w:pPr>
    </w:p>
    <w:p w:rsidR="001C0CEC" w:rsidRPr="009D41CB" w:rsidRDefault="001C0CEC" w:rsidP="001C0CEC">
      <w:pPr>
        <w:jc w:val="both"/>
        <w:rPr>
          <w:lang w:val="en-US" w:eastAsia="en-US"/>
        </w:rPr>
      </w:pPr>
    </w:p>
    <w:p w:rsidR="00977249" w:rsidRPr="00FF22D9" w:rsidRDefault="00977249" w:rsidP="001C0CEC">
      <w:pPr>
        <w:jc w:val="both"/>
        <w:rPr>
          <w:lang w:val="en-US" w:eastAsia="en-US"/>
        </w:rPr>
      </w:pPr>
      <w:r w:rsidRPr="00FF22D9">
        <w:rPr>
          <w:b/>
          <w:bCs/>
          <w:lang w:val="en-US" w:eastAsia="en-US"/>
        </w:rPr>
        <w:t>Keywords:</w:t>
      </w:r>
      <w:r w:rsidRPr="00FF22D9">
        <w:rPr>
          <w:lang w:val="en-US" w:eastAsia="en-US"/>
        </w:rPr>
        <w:t xml:space="preserve"> cereal</w:t>
      </w:r>
      <w:r w:rsidR="00571FCF" w:rsidRPr="00FF22D9">
        <w:rPr>
          <w:lang w:val="en-US" w:eastAsia="en-US"/>
        </w:rPr>
        <w:t>;</w:t>
      </w:r>
      <w:r w:rsidRPr="00FF22D9">
        <w:rPr>
          <w:lang w:val="en-US" w:eastAsia="en-US"/>
        </w:rPr>
        <w:t xml:space="preserve"> prebiotic</w:t>
      </w:r>
      <w:r w:rsidR="00BA04C3" w:rsidRPr="00FF22D9">
        <w:rPr>
          <w:lang w:val="en-US" w:eastAsia="en-US"/>
        </w:rPr>
        <w:t>s</w:t>
      </w:r>
      <w:r w:rsidR="00571FCF" w:rsidRPr="00FF22D9">
        <w:rPr>
          <w:lang w:val="en-US" w:eastAsia="en-US"/>
        </w:rPr>
        <w:t>;</w:t>
      </w:r>
      <w:r w:rsidRPr="00FF22D9">
        <w:rPr>
          <w:lang w:val="en-US" w:eastAsia="en-US"/>
        </w:rPr>
        <w:t xml:space="preserve"> fibers</w:t>
      </w:r>
      <w:r w:rsidR="00004BBA" w:rsidRPr="00FF22D9">
        <w:rPr>
          <w:lang w:val="en-US" w:eastAsia="en-US"/>
        </w:rPr>
        <w:t>.</w:t>
      </w:r>
    </w:p>
    <w:p w:rsidR="003967F5" w:rsidRPr="00FF22D9" w:rsidRDefault="003967F5" w:rsidP="001C0CEC">
      <w:pPr>
        <w:jc w:val="both"/>
        <w:rPr>
          <w:lang w:val="en-US" w:eastAsia="en-US"/>
        </w:rPr>
      </w:pPr>
    </w:p>
    <w:p w:rsidR="001C0CEC" w:rsidRPr="00FF22D9" w:rsidRDefault="001C0CEC" w:rsidP="001C0CEC">
      <w:pPr>
        <w:jc w:val="both"/>
        <w:rPr>
          <w:lang w:val="en-US" w:eastAsia="en-US"/>
        </w:rPr>
      </w:pPr>
    </w:p>
    <w:p w:rsidR="00E04078" w:rsidRPr="00FF22D9" w:rsidRDefault="00E04078" w:rsidP="001C0CEC">
      <w:pPr>
        <w:jc w:val="both"/>
        <w:rPr>
          <w:lang w:val="en-US" w:eastAsia="en-US"/>
        </w:rPr>
      </w:pPr>
    </w:p>
    <w:p w:rsidR="00977249" w:rsidRDefault="00977249" w:rsidP="001C0CEC">
      <w:pPr>
        <w:jc w:val="both"/>
      </w:pPr>
      <w:r w:rsidRPr="00FF22D9">
        <w:rPr>
          <w:b/>
          <w:bCs/>
          <w:lang w:val="en-US"/>
        </w:rPr>
        <w:t>RESUMO</w:t>
      </w:r>
      <w:r w:rsidR="003967F5" w:rsidRPr="00FF22D9">
        <w:rPr>
          <w:b/>
          <w:bCs/>
          <w:lang w:val="en-US"/>
        </w:rPr>
        <w:t>.</w:t>
      </w:r>
      <w:r w:rsidRPr="00FF22D9">
        <w:rPr>
          <w:b/>
          <w:bCs/>
          <w:lang w:val="en-US"/>
        </w:rPr>
        <w:t xml:space="preserve"> </w:t>
      </w:r>
      <w:r>
        <w:t>O</w:t>
      </w:r>
      <w:r w:rsidRPr="008A1353">
        <w:t>bjetivou</w:t>
      </w:r>
      <w:r>
        <w:t>-se</w:t>
      </w:r>
      <w:r w:rsidRPr="008A1353">
        <w:t xml:space="preserve"> verificar a aceitabilidade sensorial </w:t>
      </w:r>
      <w:r>
        <w:t xml:space="preserve">de </w:t>
      </w:r>
      <w:r w:rsidRPr="008A1353">
        <w:t>pã</w:t>
      </w:r>
      <w:r>
        <w:t xml:space="preserve">es </w:t>
      </w:r>
      <w:r w:rsidR="006C757E">
        <w:t xml:space="preserve">caseiros </w:t>
      </w:r>
      <w:r w:rsidRPr="008A1353">
        <w:t>saborizado</w:t>
      </w:r>
      <w:r>
        <w:t>s</w:t>
      </w:r>
      <w:r w:rsidRPr="008A1353">
        <w:t xml:space="preserve"> </w:t>
      </w:r>
      <w:r w:rsidR="00DB1702">
        <w:t xml:space="preserve">com </w:t>
      </w:r>
      <w:r w:rsidR="00DB1702" w:rsidRPr="00645611">
        <w:t>chá da casca de abacaxi</w:t>
      </w:r>
      <w:r w:rsidR="00DB1702" w:rsidRPr="008A1353">
        <w:t xml:space="preserve"> </w:t>
      </w:r>
      <w:r w:rsidR="00DB1702">
        <w:t xml:space="preserve">e </w:t>
      </w:r>
      <w:r w:rsidRPr="008A1353">
        <w:t>adicionado</w:t>
      </w:r>
      <w:r>
        <w:t>s</w:t>
      </w:r>
      <w:r w:rsidRPr="008A1353">
        <w:t xml:space="preserve"> de</w:t>
      </w:r>
      <w:r w:rsidR="00DB1702">
        <w:t xml:space="preserve"> inulina, bem como</w:t>
      </w:r>
      <w:r w:rsidRPr="008A1353">
        <w:t xml:space="preserve"> determinar a composição físico-química da formulação tradicional e daquela contendo maior nível de inulina e com aceitação sensorial seme</w:t>
      </w:r>
      <w:r>
        <w:t>lhante a padrão. Utilizaram-se cinco formulações de pães sendo: padrão</w:t>
      </w:r>
      <w:r w:rsidR="00AE5F7D">
        <w:t xml:space="preserve"> (F1)</w:t>
      </w:r>
      <w:r>
        <w:t xml:space="preserve"> e as demais adicionadas de 20%</w:t>
      </w:r>
      <w:r w:rsidR="00AE5F7D">
        <w:t xml:space="preserve"> (F2)</w:t>
      </w:r>
      <w:r>
        <w:t>, 25%</w:t>
      </w:r>
      <w:r w:rsidR="00AE5F7D">
        <w:t xml:space="preserve"> (F3)</w:t>
      </w:r>
      <w:r w:rsidRPr="008A1353">
        <w:t>, 30%</w:t>
      </w:r>
      <w:r w:rsidR="00AE5F7D">
        <w:t xml:space="preserve"> (F4)</w:t>
      </w:r>
      <w:r w:rsidRPr="008A1353">
        <w:t xml:space="preserve"> e 35%</w:t>
      </w:r>
      <w:r w:rsidR="00AE5F7D">
        <w:t xml:space="preserve"> (F5)</w:t>
      </w:r>
      <w:r w:rsidRPr="008A1353">
        <w:t xml:space="preserve"> de inulina. Participaram da análise sensorial 50 provadores não treinados, de ambos os gêneros, com idade entre 7 e 10 anos. Nas análises físico-químicas foram determinados o teor de umidade, cinzas, proteínas, lipídios, carboidratos, fibra bruta e v</w:t>
      </w:r>
      <w:r>
        <w:t xml:space="preserve">alor calórico. Sensorialmente, </w:t>
      </w:r>
      <w:r w:rsidR="005141AE" w:rsidRPr="005141AE">
        <w:t xml:space="preserve">a amostra F5 apresentou menores notas que as demais </w:t>
      </w:r>
      <w:r w:rsidR="005141AE">
        <w:t>no atributo</w:t>
      </w:r>
      <w:r>
        <w:t xml:space="preserve"> aparência e</w:t>
      </w:r>
      <w:r w:rsidR="004251D0">
        <w:t xml:space="preserve"> menor nota que a amostra padrão para o atributo</w:t>
      </w:r>
      <w:r>
        <w:t xml:space="preserve"> sabor</w:t>
      </w:r>
      <w:r w:rsidR="00A44B90">
        <w:t xml:space="preserve"> (p&lt;0,05)</w:t>
      </w:r>
      <w:r w:rsidR="004251D0">
        <w:t>. P</w:t>
      </w:r>
      <w:r w:rsidRPr="00CA0F11">
        <w:t>ortanto</w:t>
      </w:r>
      <w:r w:rsidR="004251D0">
        <w:t>,</w:t>
      </w:r>
      <w:r w:rsidRPr="00CA0F11">
        <w:t xml:space="preserve"> a amostra com 30% de inulina foi </w:t>
      </w:r>
      <w:r w:rsidR="004251D0">
        <w:t>considerada como o produto</w:t>
      </w:r>
      <w:r w:rsidRPr="00CA0F11">
        <w:t xml:space="preserve"> com maior teor do ingrediente e aceitação sensorial semelhante a padrão. Na composição físico-química, a amostra com 30% de inulina apresentou menores teores de umidade</w:t>
      </w:r>
      <w:r w:rsidR="00071A6B">
        <w:t>,</w:t>
      </w:r>
      <w:r w:rsidRPr="00CA0F11">
        <w:t xml:space="preserve"> proteínas</w:t>
      </w:r>
      <w:r w:rsidR="00071A6B">
        <w:t xml:space="preserve"> e calorias</w:t>
      </w:r>
      <w:r w:rsidRPr="00CA0F11">
        <w:t xml:space="preserve"> e maiores </w:t>
      </w:r>
      <w:r w:rsidR="00071A6B">
        <w:t xml:space="preserve">conteúdos </w:t>
      </w:r>
      <w:r w:rsidRPr="00CA0F11">
        <w:t>de carboidra</w:t>
      </w:r>
      <w:r w:rsidR="00071A6B">
        <w:t>tos</w:t>
      </w:r>
      <w:r w:rsidRPr="00CA0F11">
        <w:t xml:space="preserve"> e fibra bruta que a padrão. Sendo assim, a elaboração dos produtos permitiu comprovar que um nível de adição de até 30% de</w:t>
      </w:r>
      <w:r w:rsidRPr="008A1353">
        <w:t xml:space="preserve"> inulina em pão de forma foi melhor aceito, obtendo-se aceitação sensorial semelhante ao produto padrão</w:t>
      </w:r>
      <w:r>
        <w:t xml:space="preserve"> e com boas expectativas de comercialização</w:t>
      </w:r>
      <w:r w:rsidRPr="008A1353">
        <w:t>.</w:t>
      </w:r>
    </w:p>
    <w:p w:rsidR="00977249" w:rsidRDefault="00977249" w:rsidP="001C0CEC">
      <w:pPr>
        <w:jc w:val="both"/>
      </w:pPr>
    </w:p>
    <w:p w:rsidR="000000BD" w:rsidRPr="008A1353" w:rsidRDefault="000000BD" w:rsidP="001C0CEC">
      <w:pPr>
        <w:jc w:val="both"/>
      </w:pPr>
    </w:p>
    <w:p w:rsidR="00977249" w:rsidRDefault="00977249" w:rsidP="001C0CEC">
      <w:pPr>
        <w:jc w:val="both"/>
      </w:pPr>
      <w:r w:rsidRPr="008A1353">
        <w:rPr>
          <w:b/>
          <w:bCs/>
        </w:rPr>
        <w:t xml:space="preserve">Palavras-chave: </w:t>
      </w:r>
      <w:r>
        <w:t>cereais</w:t>
      </w:r>
      <w:r w:rsidR="00571FCF">
        <w:t>;</w:t>
      </w:r>
      <w:r w:rsidRPr="008A1353">
        <w:t xml:space="preserve"> </w:t>
      </w:r>
      <w:r w:rsidR="002A4571">
        <w:t>prebió</w:t>
      </w:r>
      <w:r>
        <w:t>tico</w:t>
      </w:r>
      <w:r w:rsidR="00BA04C3">
        <w:t>s</w:t>
      </w:r>
      <w:r w:rsidR="00571FCF">
        <w:t>;</w:t>
      </w:r>
      <w:r w:rsidRPr="008A1353">
        <w:t xml:space="preserve"> fibras</w:t>
      </w:r>
      <w:r>
        <w:t>.</w:t>
      </w:r>
    </w:p>
    <w:p w:rsidR="001C0CEC" w:rsidRDefault="001C0CEC" w:rsidP="001C0CEC">
      <w:pPr>
        <w:jc w:val="both"/>
      </w:pPr>
    </w:p>
    <w:p w:rsidR="001C0CEC" w:rsidRDefault="001C0CEC" w:rsidP="001C0CEC">
      <w:pPr>
        <w:jc w:val="both"/>
      </w:pPr>
    </w:p>
    <w:p w:rsidR="001C0CEC" w:rsidRDefault="001C0CEC" w:rsidP="001C0CEC">
      <w:pPr>
        <w:jc w:val="both"/>
      </w:pPr>
    </w:p>
    <w:p w:rsidR="001C0CEC" w:rsidRDefault="001C0CEC" w:rsidP="001C0CEC">
      <w:pPr>
        <w:jc w:val="both"/>
      </w:pPr>
    </w:p>
    <w:p w:rsidR="001C0CEC" w:rsidRDefault="001C0CEC" w:rsidP="001C0CEC">
      <w:pPr>
        <w:jc w:val="both"/>
      </w:pPr>
    </w:p>
    <w:p w:rsidR="001C0CEC" w:rsidRDefault="001C0CEC" w:rsidP="001C0CEC">
      <w:pPr>
        <w:jc w:val="both"/>
      </w:pPr>
    </w:p>
    <w:p w:rsidR="001C0CEC" w:rsidRDefault="001C0CEC" w:rsidP="001C0CEC">
      <w:pPr>
        <w:jc w:val="both"/>
      </w:pPr>
    </w:p>
    <w:p w:rsidR="001C0CEC" w:rsidRDefault="001C0CEC" w:rsidP="001C0CEC">
      <w:pPr>
        <w:jc w:val="both"/>
      </w:pPr>
    </w:p>
    <w:p w:rsidR="000000BD" w:rsidRDefault="000000BD" w:rsidP="001C0CEC">
      <w:pPr>
        <w:jc w:val="both"/>
      </w:pPr>
    </w:p>
    <w:p w:rsidR="000000BD" w:rsidRDefault="000000BD" w:rsidP="001C0CEC">
      <w:pPr>
        <w:jc w:val="both"/>
      </w:pPr>
    </w:p>
    <w:p w:rsidR="000000BD" w:rsidRDefault="000000BD" w:rsidP="001C0CEC">
      <w:pPr>
        <w:jc w:val="both"/>
      </w:pPr>
    </w:p>
    <w:p w:rsidR="000000BD" w:rsidRDefault="000000BD" w:rsidP="001C0CEC">
      <w:pPr>
        <w:jc w:val="both"/>
      </w:pPr>
    </w:p>
    <w:p w:rsidR="001C0CEC" w:rsidRDefault="001C0CEC" w:rsidP="001C0CEC">
      <w:pPr>
        <w:jc w:val="both"/>
      </w:pPr>
    </w:p>
    <w:p w:rsidR="00977249" w:rsidRDefault="004C1E35" w:rsidP="007C3E9F">
      <w:pPr>
        <w:spacing w:line="360" w:lineRule="auto"/>
        <w:jc w:val="both"/>
        <w:rPr>
          <w:b/>
          <w:bCs/>
          <w:lang w:val="en-US" w:eastAsia="en-US"/>
        </w:rPr>
      </w:pPr>
      <w:r w:rsidRPr="009D41CB">
        <w:rPr>
          <w:b/>
          <w:bCs/>
          <w:lang w:val="en-US" w:eastAsia="en-US"/>
        </w:rPr>
        <w:lastRenderedPageBreak/>
        <w:t>INTRODUCTION</w:t>
      </w:r>
      <w:r>
        <w:rPr>
          <w:b/>
          <w:bCs/>
          <w:lang w:val="en-US" w:eastAsia="en-US"/>
        </w:rPr>
        <w:t xml:space="preserve"> </w:t>
      </w:r>
    </w:p>
    <w:p w:rsidR="005B7BD8" w:rsidRPr="009D41CB" w:rsidRDefault="005B7BD8" w:rsidP="007C3E9F">
      <w:pPr>
        <w:spacing w:line="360" w:lineRule="auto"/>
        <w:jc w:val="both"/>
        <w:rPr>
          <w:b/>
          <w:bCs/>
          <w:lang w:val="en-US" w:eastAsia="en-US"/>
        </w:rPr>
      </w:pPr>
    </w:p>
    <w:p w:rsidR="00977249" w:rsidRPr="009D41CB" w:rsidRDefault="00977249" w:rsidP="007C3E9F">
      <w:pPr>
        <w:spacing w:line="360" w:lineRule="auto"/>
        <w:ind w:firstLine="708"/>
        <w:jc w:val="both"/>
        <w:rPr>
          <w:lang w:val="en-US" w:eastAsia="en-US"/>
        </w:rPr>
      </w:pPr>
      <w:r w:rsidRPr="009D41CB">
        <w:rPr>
          <w:lang w:val="en-US" w:eastAsia="en-US"/>
        </w:rPr>
        <w:t xml:space="preserve">The production of new beneficial foods to health presents growing scientific and commercial </w:t>
      </w:r>
      <w:r>
        <w:rPr>
          <w:lang w:val="en-US" w:eastAsia="en-US"/>
        </w:rPr>
        <w:t xml:space="preserve">support. Among these there are products with </w:t>
      </w:r>
      <w:r w:rsidRPr="009D41CB">
        <w:rPr>
          <w:lang w:val="en-US" w:eastAsia="en-US"/>
        </w:rPr>
        <w:t>low calorie and fiber enriched using ingredients such as fructooligosaccharides (FOS) and inulin. These present many advantages, because they can replace, mainly, sugar and fat in food products (</w:t>
      </w:r>
      <w:r w:rsidR="007C3E9F" w:rsidRPr="008C1458">
        <w:rPr>
          <w:lang w:val="en-US"/>
        </w:rPr>
        <w:t xml:space="preserve">FRANCK, </w:t>
      </w:r>
      <w:r w:rsidR="007C3E9F">
        <w:rPr>
          <w:lang w:val="en-US"/>
        </w:rPr>
        <w:t xml:space="preserve">2002; </w:t>
      </w:r>
      <w:r w:rsidR="00A92F18">
        <w:rPr>
          <w:lang w:val="en-US"/>
        </w:rPr>
        <w:t>ISIK</w:t>
      </w:r>
      <w:r w:rsidR="007C3E9F">
        <w:rPr>
          <w:lang w:val="en-US"/>
        </w:rPr>
        <w:t xml:space="preserve"> et al., 2011; </w:t>
      </w:r>
      <w:r w:rsidR="007C3E9F" w:rsidRPr="00775B8C">
        <w:rPr>
          <w:lang w:val="en-US"/>
        </w:rPr>
        <w:t>MANTZOURIDOU</w:t>
      </w:r>
      <w:r w:rsidR="007C3E9F">
        <w:rPr>
          <w:lang w:val="en-US"/>
        </w:rPr>
        <w:t xml:space="preserve"> et al., 2012</w:t>
      </w:r>
      <w:r w:rsidRPr="009D41CB">
        <w:rPr>
          <w:lang w:val="en-US" w:eastAsia="en-US"/>
        </w:rPr>
        <w:t>).</w:t>
      </w:r>
    </w:p>
    <w:p w:rsidR="00977249" w:rsidRPr="009D41CB" w:rsidRDefault="00977249" w:rsidP="007C3E9F">
      <w:pPr>
        <w:spacing w:line="360" w:lineRule="auto"/>
        <w:ind w:firstLine="708"/>
        <w:jc w:val="both"/>
        <w:rPr>
          <w:lang w:val="en-US" w:eastAsia="en-US"/>
        </w:rPr>
      </w:pPr>
      <w:r w:rsidRPr="009D41CB">
        <w:rPr>
          <w:lang w:val="en-US" w:eastAsia="en-US"/>
        </w:rPr>
        <w:t xml:space="preserve">Inulin is a storage polysaccharide presented in several plants such as onion, garlic, wheat, </w:t>
      </w:r>
      <w:r w:rsidRPr="00972172">
        <w:rPr>
          <w:lang w:val="en-US" w:eastAsia="en-US"/>
        </w:rPr>
        <w:t>leeks</w:t>
      </w:r>
      <w:r>
        <w:rPr>
          <w:lang w:val="en-US" w:eastAsia="en-US"/>
        </w:rPr>
        <w:t xml:space="preserve">, </w:t>
      </w:r>
      <w:r w:rsidRPr="009D41CB">
        <w:rPr>
          <w:lang w:val="en-US" w:eastAsia="en-US"/>
        </w:rPr>
        <w:t>banana and chicory. Its industrial extraction occurs mainly from the latter (FRANCK, 2002; MEYER</w:t>
      </w:r>
      <w:r>
        <w:rPr>
          <w:lang w:val="en-US" w:eastAsia="en-US"/>
        </w:rPr>
        <w:t xml:space="preserve"> et al.</w:t>
      </w:r>
      <w:r w:rsidRPr="009D41CB">
        <w:rPr>
          <w:lang w:val="en-US" w:eastAsia="en-US"/>
        </w:rPr>
        <w:t xml:space="preserve">, 2011). It can be considered a soluble fiber and prebiotic because it is not digested by the gastrointestinal tract and it is used as a substrate for </w:t>
      </w:r>
      <w:r w:rsidRPr="00972172">
        <w:rPr>
          <w:lang w:val="en-US" w:eastAsia="en-US"/>
        </w:rPr>
        <w:t>beneficial colonic bacteria</w:t>
      </w:r>
      <w:r>
        <w:rPr>
          <w:lang w:val="en-US" w:eastAsia="en-US"/>
        </w:rPr>
        <w:t xml:space="preserve">, </w:t>
      </w:r>
      <w:r w:rsidRPr="009D41CB">
        <w:rPr>
          <w:lang w:val="en-US" w:eastAsia="en-US"/>
        </w:rPr>
        <w:t xml:space="preserve">contributing to the improvement of the intestinal </w:t>
      </w:r>
      <w:r w:rsidRPr="00972172">
        <w:rPr>
          <w:lang w:val="en-US" w:eastAsia="en-US"/>
        </w:rPr>
        <w:t>microflora</w:t>
      </w:r>
      <w:r w:rsidR="00A84E63">
        <w:rPr>
          <w:lang w:val="en-US" w:eastAsia="en-US"/>
        </w:rPr>
        <w:t xml:space="preserve"> (MANTZOURIDOU et al.</w:t>
      </w:r>
      <w:r w:rsidRPr="009D41CB">
        <w:rPr>
          <w:lang w:val="en-US" w:eastAsia="en-US"/>
        </w:rPr>
        <w:t>, 2012).</w:t>
      </w:r>
    </w:p>
    <w:p w:rsidR="00977249" w:rsidRPr="009D41CB" w:rsidRDefault="00977249" w:rsidP="007C3E9F">
      <w:pPr>
        <w:spacing w:line="360" w:lineRule="auto"/>
        <w:ind w:firstLine="708"/>
        <w:jc w:val="both"/>
        <w:rPr>
          <w:lang w:val="en-US" w:eastAsia="en-US"/>
        </w:rPr>
      </w:pPr>
      <w:r w:rsidRPr="009D41CB">
        <w:rPr>
          <w:lang w:val="en-US" w:eastAsia="en-US"/>
        </w:rPr>
        <w:t>The wide use of inulin in food industry is based on their nutritional and technological properties (MUZZARELLI</w:t>
      </w:r>
      <w:r w:rsidR="005E48CB">
        <w:rPr>
          <w:lang w:val="en-US" w:eastAsia="en-US"/>
        </w:rPr>
        <w:t xml:space="preserve"> et al.</w:t>
      </w:r>
      <w:r w:rsidRPr="009D41CB">
        <w:rPr>
          <w:lang w:val="en-US" w:eastAsia="en-US"/>
        </w:rPr>
        <w:t>, 2011). It is used in various products such as confectionery, beverages, dairy products, cereal bars, ice cream and others (MEYER</w:t>
      </w:r>
      <w:r w:rsidR="00A84E63">
        <w:rPr>
          <w:lang w:val="en-US" w:eastAsia="en-US"/>
        </w:rPr>
        <w:t xml:space="preserve"> et al.,</w:t>
      </w:r>
      <w:r w:rsidRPr="009D41CB">
        <w:rPr>
          <w:lang w:val="en-US" w:eastAsia="en-US"/>
        </w:rPr>
        <w:t xml:space="preserve"> 2007</w:t>
      </w:r>
      <w:r w:rsidR="00193D23">
        <w:rPr>
          <w:lang w:val="en-US" w:eastAsia="en-US"/>
        </w:rPr>
        <w:t xml:space="preserve">; </w:t>
      </w:r>
      <w:r w:rsidR="00A92F18">
        <w:rPr>
          <w:lang w:val="en-US"/>
        </w:rPr>
        <w:t>ISIK</w:t>
      </w:r>
      <w:r w:rsidR="00193D23">
        <w:rPr>
          <w:lang w:val="en-US"/>
        </w:rPr>
        <w:t xml:space="preserve"> et al., 2011</w:t>
      </w:r>
      <w:r w:rsidR="002D1F31">
        <w:rPr>
          <w:lang w:val="en-US"/>
        </w:rPr>
        <w:t>; GRANATO et al., 2012</w:t>
      </w:r>
      <w:r w:rsidRPr="009D41CB">
        <w:rPr>
          <w:lang w:val="en-US" w:eastAsia="en-US"/>
        </w:rPr>
        <w:t>). Bread is a great tool for adding functional ingredients such as inulin, because in addition to supply a meaningful portion of daily energy and nutrients is a food very consumed by the population (VASCONCELOS</w:t>
      </w:r>
      <w:r w:rsidR="005E48CB">
        <w:rPr>
          <w:lang w:val="en-US" w:eastAsia="en-US"/>
        </w:rPr>
        <w:t xml:space="preserve"> et al.</w:t>
      </w:r>
      <w:r w:rsidRPr="009D41CB">
        <w:rPr>
          <w:lang w:val="en-US" w:eastAsia="en-US"/>
        </w:rPr>
        <w:t>, 2006).</w:t>
      </w:r>
    </w:p>
    <w:p w:rsidR="00977249" w:rsidRPr="009D41CB" w:rsidRDefault="00977249" w:rsidP="00B80A24">
      <w:pPr>
        <w:tabs>
          <w:tab w:val="left" w:pos="6120"/>
        </w:tabs>
        <w:spacing w:line="360" w:lineRule="auto"/>
        <w:ind w:firstLine="708"/>
        <w:jc w:val="both"/>
        <w:rPr>
          <w:lang w:val="en-US" w:eastAsia="en-US"/>
        </w:rPr>
      </w:pPr>
      <w:r w:rsidRPr="009D41CB">
        <w:rPr>
          <w:lang w:val="en-US" w:eastAsia="en-US"/>
        </w:rPr>
        <w:t xml:space="preserve">Thus, the food </w:t>
      </w:r>
      <w:r>
        <w:rPr>
          <w:lang w:val="en-US" w:eastAsia="en-US"/>
        </w:rPr>
        <w:t xml:space="preserve">technology is being applied to </w:t>
      </w:r>
      <w:r w:rsidRPr="009D41CB">
        <w:rPr>
          <w:lang w:val="en-US" w:eastAsia="en-US"/>
        </w:rPr>
        <w:t>products through enrichment techniques, full food using, adding functional properti</w:t>
      </w:r>
      <w:r>
        <w:rPr>
          <w:lang w:val="en-US" w:eastAsia="en-US"/>
        </w:rPr>
        <w:t xml:space="preserve">es, lower costs, among others, </w:t>
      </w:r>
      <w:r w:rsidRPr="009D41CB">
        <w:rPr>
          <w:lang w:val="en-US" w:eastAsia="en-US"/>
        </w:rPr>
        <w:t>searching for some kind of contribution with feeding and can bring health benefits t</w:t>
      </w:r>
      <w:r>
        <w:rPr>
          <w:lang w:val="en-US" w:eastAsia="en-US"/>
        </w:rPr>
        <w:t>o</w:t>
      </w:r>
      <w:r w:rsidRPr="009D41CB">
        <w:rPr>
          <w:lang w:val="en-US" w:eastAsia="en-US"/>
        </w:rPr>
        <w:t xml:space="preserve"> people (MORRIS</w:t>
      </w:r>
      <w:r>
        <w:rPr>
          <w:lang w:val="en-US" w:eastAsia="en-US"/>
        </w:rPr>
        <w:t>;</w:t>
      </w:r>
      <w:r w:rsidRPr="009D41CB">
        <w:rPr>
          <w:lang w:val="en-US" w:eastAsia="en-US"/>
        </w:rPr>
        <w:t xml:space="preserve"> MORRIS, 2012). However, to make a new product to be offered in the market is of greatest importance through its assessment of sensory analysis, aiming its development, optimization and consumer acceptance (VON ATZI</w:t>
      </w:r>
      <w:r w:rsidR="00B80A24">
        <w:rPr>
          <w:lang w:val="en-US" w:eastAsia="en-US"/>
        </w:rPr>
        <w:t>NGEN</w:t>
      </w:r>
      <w:r w:rsidR="00B80A24">
        <w:rPr>
          <w:lang w:val="en-US"/>
        </w:rPr>
        <w:t xml:space="preserve">; </w:t>
      </w:r>
      <w:r w:rsidR="00B80A24" w:rsidRPr="00F46210">
        <w:rPr>
          <w:lang w:val="en-US"/>
        </w:rPr>
        <w:t>PINTO E SILVA</w:t>
      </w:r>
      <w:r w:rsidRPr="009D41CB">
        <w:rPr>
          <w:lang w:val="en-US" w:eastAsia="en-US"/>
        </w:rPr>
        <w:t>, 2010).</w:t>
      </w:r>
      <w:r w:rsidR="00D34F79">
        <w:rPr>
          <w:lang w:val="en-US" w:eastAsia="en-US"/>
        </w:rPr>
        <w:t xml:space="preserve"> </w:t>
      </w:r>
      <w:r w:rsidRPr="009D41CB">
        <w:rPr>
          <w:lang w:val="en-US" w:eastAsia="en-US"/>
        </w:rPr>
        <w:t>It is noteworthy that the sensory characteristics of added ingredients should look like the standard product and also reduce the substitution effects to obtain food with good appearance, aroma</w:t>
      </w:r>
      <w:r>
        <w:rPr>
          <w:lang w:val="en-US" w:eastAsia="en-US"/>
        </w:rPr>
        <w:t>, taste</w:t>
      </w:r>
      <w:r w:rsidRPr="009D41CB">
        <w:rPr>
          <w:lang w:val="en-US" w:eastAsia="en-US"/>
        </w:rPr>
        <w:t>, color and texture (</w:t>
      </w:r>
      <w:r w:rsidR="00116A56">
        <w:rPr>
          <w:lang w:val="en-US" w:eastAsia="en-US"/>
        </w:rPr>
        <w:t>MINIM, 2010; DUTCOSKI, 2011</w:t>
      </w:r>
      <w:r w:rsidRPr="009D41CB">
        <w:rPr>
          <w:lang w:val="en-US" w:eastAsia="en-US"/>
        </w:rPr>
        <w:t>).</w:t>
      </w:r>
    </w:p>
    <w:p w:rsidR="00977249" w:rsidRPr="009D41CB" w:rsidRDefault="00977249" w:rsidP="00571A63">
      <w:pPr>
        <w:spacing w:line="360" w:lineRule="auto"/>
        <w:ind w:firstLine="708"/>
        <w:jc w:val="both"/>
        <w:rPr>
          <w:lang w:val="en-US" w:eastAsia="en-US"/>
        </w:rPr>
      </w:pPr>
      <w:r w:rsidRPr="009D41CB">
        <w:rPr>
          <w:lang w:val="en-US" w:eastAsia="en-US"/>
        </w:rPr>
        <w:t>It is known that childhood is the development stage of eating habits, which turns the school into a conducive environment for encouraging the consumption of new foods, and be nutritionally adequate. Thus, it becomes important to introduce healthy foods in age from 7 to 10 y</w:t>
      </w:r>
      <w:r>
        <w:rPr>
          <w:lang w:val="en-US" w:eastAsia="en-US"/>
        </w:rPr>
        <w:t xml:space="preserve">ears, considered school phase, </w:t>
      </w:r>
      <w:r w:rsidRPr="009D41CB">
        <w:rPr>
          <w:lang w:val="en-US" w:eastAsia="en-US"/>
        </w:rPr>
        <w:t>and analyze the physic</w:t>
      </w:r>
      <w:r w:rsidR="00D150D8">
        <w:rPr>
          <w:lang w:val="en-US" w:eastAsia="en-US"/>
        </w:rPr>
        <w:t>o</w:t>
      </w:r>
      <w:r w:rsidRPr="009D41CB">
        <w:rPr>
          <w:lang w:val="en-US" w:eastAsia="en-US"/>
        </w:rPr>
        <w:t>-chemical composition of the standard product because once acquired the right habits, are unlikel</w:t>
      </w:r>
      <w:r>
        <w:rPr>
          <w:lang w:val="en-US" w:eastAsia="en-US"/>
        </w:rPr>
        <w:t>y to be modified in adulthood (</w:t>
      </w:r>
      <w:r w:rsidR="00B80A24" w:rsidRPr="009D41CB">
        <w:rPr>
          <w:lang w:val="en-US" w:eastAsia="en-US"/>
        </w:rPr>
        <w:t>VON ATZI</w:t>
      </w:r>
      <w:r w:rsidR="00B80A24">
        <w:rPr>
          <w:lang w:val="en-US" w:eastAsia="en-US"/>
        </w:rPr>
        <w:t>NGEN</w:t>
      </w:r>
      <w:r w:rsidR="00B80A24">
        <w:rPr>
          <w:lang w:val="en-US"/>
        </w:rPr>
        <w:t xml:space="preserve">; </w:t>
      </w:r>
      <w:r w:rsidR="00B80A24" w:rsidRPr="00F46210">
        <w:rPr>
          <w:lang w:val="en-US"/>
        </w:rPr>
        <w:t>PINTO E SILVA</w:t>
      </w:r>
      <w:r w:rsidR="00B80A24" w:rsidRPr="009D41CB">
        <w:rPr>
          <w:lang w:val="en-US" w:eastAsia="en-US"/>
        </w:rPr>
        <w:t>, 2010</w:t>
      </w:r>
      <w:r w:rsidRPr="009D41CB">
        <w:rPr>
          <w:lang w:val="en-US" w:eastAsia="en-US"/>
        </w:rPr>
        <w:t>).</w:t>
      </w:r>
    </w:p>
    <w:p w:rsidR="00977249" w:rsidRDefault="00977249" w:rsidP="00571A63">
      <w:pPr>
        <w:spacing w:line="360" w:lineRule="auto"/>
        <w:ind w:firstLine="708"/>
        <w:jc w:val="both"/>
        <w:rPr>
          <w:lang w:val="en-US" w:eastAsia="en-US"/>
        </w:rPr>
      </w:pPr>
      <w:r w:rsidRPr="009D41CB">
        <w:rPr>
          <w:lang w:val="en-US" w:eastAsia="en-US"/>
        </w:rPr>
        <w:t xml:space="preserve">Thus, the goal of this study was to prepare flavored </w:t>
      </w:r>
      <w:r w:rsidR="00616E51" w:rsidRPr="00634F25">
        <w:rPr>
          <w:rStyle w:val="hps"/>
          <w:lang w:val="en-US"/>
        </w:rPr>
        <w:t>homemade</w:t>
      </w:r>
      <w:r w:rsidR="00616E51" w:rsidRPr="006C757E">
        <w:rPr>
          <w:lang w:val="en-US" w:eastAsia="en-US"/>
        </w:rPr>
        <w:t xml:space="preserve"> </w:t>
      </w:r>
      <w:r w:rsidRPr="009D41CB">
        <w:rPr>
          <w:lang w:val="en-US" w:eastAsia="en-US"/>
        </w:rPr>
        <w:t>breads added</w:t>
      </w:r>
      <w:r>
        <w:rPr>
          <w:lang w:val="en-US" w:eastAsia="en-US"/>
        </w:rPr>
        <w:t xml:space="preserve"> with</w:t>
      </w:r>
      <w:r w:rsidRPr="009D41CB">
        <w:rPr>
          <w:lang w:val="en-US" w:eastAsia="en-US"/>
        </w:rPr>
        <w:t xml:space="preserve"> inulin, evaluating the sensory acceptability among children in school phase, and analyze the </w:t>
      </w:r>
      <w:r w:rsidR="00D150D8" w:rsidRPr="009D41CB">
        <w:rPr>
          <w:lang w:val="en-US" w:eastAsia="en-US"/>
        </w:rPr>
        <w:t>physic</w:t>
      </w:r>
      <w:r w:rsidR="00D150D8">
        <w:rPr>
          <w:lang w:val="en-US" w:eastAsia="en-US"/>
        </w:rPr>
        <w:t>o</w:t>
      </w:r>
      <w:r w:rsidR="00D150D8" w:rsidRPr="009D41CB">
        <w:rPr>
          <w:lang w:val="en-US" w:eastAsia="en-US"/>
        </w:rPr>
        <w:t>-</w:t>
      </w:r>
      <w:r w:rsidR="00D150D8" w:rsidRPr="009D41CB">
        <w:rPr>
          <w:lang w:val="en-US" w:eastAsia="en-US"/>
        </w:rPr>
        <w:lastRenderedPageBreak/>
        <w:t xml:space="preserve">chemical </w:t>
      </w:r>
      <w:r w:rsidRPr="009D41CB">
        <w:rPr>
          <w:lang w:val="en-US" w:eastAsia="en-US"/>
        </w:rPr>
        <w:t>composition of the standard</w:t>
      </w:r>
      <w:r>
        <w:rPr>
          <w:lang w:val="en-US" w:eastAsia="en-US"/>
        </w:rPr>
        <w:t xml:space="preserve"> product and that with higher</w:t>
      </w:r>
      <w:r w:rsidRPr="009D41CB">
        <w:rPr>
          <w:lang w:val="en-US" w:eastAsia="en-US"/>
        </w:rPr>
        <w:t xml:space="preserve"> inulin content and similar acceptance.</w:t>
      </w:r>
    </w:p>
    <w:p w:rsidR="00616E51" w:rsidRDefault="00616E51" w:rsidP="00571A63">
      <w:pPr>
        <w:spacing w:line="360" w:lineRule="auto"/>
        <w:ind w:firstLine="708"/>
        <w:jc w:val="both"/>
        <w:rPr>
          <w:lang w:val="en-US" w:eastAsia="en-US"/>
        </w:rPr>
      </w:pPr>
    </w:p>
    <w:p w:rsidR="00977249" w:rsidRDefault="004C1E35" w:rsidP="00571A63">
      <w:pPr>
        <w:spacing w:line="360" w:lineRule="auto"/>
        <w:jc w:val="both"/>
        <w:rPr>
          <w:b/>
          <w:bCs/>
          <w:lang w:val="en-US" w:eastAsia="en-US"/>
        </w:rPr>
      </w:pPr>
      <w:r w:rsidRPr="007D5429">
        <w:rPr>
          <w:b/>
          <w:bCs/>
          <w:lang w:val="en-US" w:eastAsia="en-US"/>
        </w:rPr>
        <w:t>MATERIAL AND METHODS</w:t>
      </w:r>
    </w:p>
    <w:p w:rsidR="00977249" w:rsidRPr="007D5429" w:rsidRDefault="00977249" w:rsidP="00571A63">
      <w:pPr>
        <w:spacing w:line="360" w:lineRule="auto"/>
        <w:jc w:val="both"/>
        <w:rPr>
          <w:b/>
          <w:bCs/>
          <w:lang w:val="en-US" w:eastAsia="en-US"/>
        </w:rPr>
      </w:pPr>
    </w:p>
    <w:p w:rsidR="00977249" w:rsidRDefault="00977249" w:rsidP="00571A63">
      <w:pPr>
        <w:spacing w:line="360" w:lineRule="auto"/>
        <w:jc w:val="both"/>
        <w:rPr>
          <w:b/>
          <w:bCs/>
          <w:iCs/>
          <w:lang w:val="en-US" w:eastAsia="en-US"/>
        </w:rPr>
      </w:pPr>
      <w:r w:rsidRPr="004C1E35">
        <w:rPr>
          <w:b/>
          <w:bCs/>
          <w:iCs/>
          <w:lang w:val="en-US" w:eastAsia="en-US"/>
        </w:rPr>
        <w:t>Raw material acquisition</w:t>
      </w:r>
    </w:p>
    <w:p w:rsidR="00E04078" w:rsidRPr="004C1E35" w:rsidRDefault="00E04078" w:rsidP="00571A63">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Pr>
          <w:lang w:val="en-US" w:eastAsia="en-US"/>
        </w:rPr>
        <w:t>The products were purchased</w:t>
      </w:r>
      <w:r w:rsidRPr="004565F6">
        <w:rPr>
          <w:lang w:val="en-US" w:eastAsia="en-US"/>
        </w:rPr>
        <w:t xml:space="preserve"> in supermarkets</w:t>
      </w:r>
      <w:r>
        <w:rPr>
          <w:lang w:val="en-US" w:eastAsia="en-US"/>
        </w:rPr>
        <w:t xml:space="preserve"> in</w:t>
      </w:r>
      <w:r w:rsidRPr="004565F6">
        <w:rPr>
          <w:lang w:val="en-US" w:eastAsia="en-US"/>
        </w:rPr>
        <w:t xml:space="preserve"> Guarapuava, PR</w:t>
      </w:r>
      <w:r>
        <w:rPr>
          <w:lang w:val="en-US" w:eastAsia="en-US"/>
        </w:rPr>
        <w:t xml:space="preserve"> and inulin was donated by national</w:t>
      </w:r>
      <w:r w:rsidRPr="004565F6">
        <w:rPr>
          <w:lang w:val="en-US" w:eastAsia="en-US"/>
        </w:rPr>
        <w:t xml:space="preserve"> partner</w:t>
      </w:r>
      <w:r>
        <w:rPr>
          <w:lang w:val="en-US" w:eastAsia="en-US"/>
        </w:rPr>
        <w:t xml:space="preserve"> companies</w:t>
      </w:r>
      <w:r w:rsidRPr="004565F6">
        <w:rPr>
          <w:lang w:val="en-US" w:eastAsia="en-US"/>
        </w:rPr>
        <w:t>.</w:t>
      </w:r>
    </w:p>
    <w:p w:rsidR="00C037D9" w:rsidRDefault="00C037D9"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Pineapple peel tea acquisition</w:t>
      </w:r>
    </w:p>
    <w:p w:rsidR="00E04078" w:rsidRPr="004C1E35" w:rsidRDefault="00E04078" w:rsidP="00571A63">
      <w:pPr>
        <w:spacing w:line="360" w:lineRule="auto"/>
        <w:jc w:val="both"/>
        <w:rPr>
          <w:iCs/>
          <w:lang w:val="en-US" w:eastAsia="en-US"/>
        </w:rPr>
      </w:pPr>
    </w:p>
    <w:p w:rsidR="00977249" w:rsidRDefault="00977249" w:rsidP="00571A63">
      <w:pPr>
        <w:spacing w:line="360" w:lineRule="auto"/>
        <w:ind w:firstLine="708"/>
        <w:jc w:val="both"/>
        <w:rPr>
          <w:lang w:val="en-US" w:eastAsia="en-US"/>
        </w:rPr>
      </w:pPr>
      <w:r w:rsidRPr="004565F6">
        <w:rPr>
          <w:lang w:val="en-US" w:eastAsia="en-US"/>
        </w:rPr>
        <w:t>Initiall</w:t>
      </w:r>
      <w:r>
        <w:rPr>
          <w:lang w:val="en-US" w:eastAsia="en-US"/>
        </w:rPr>
        <w:t>y pineapple was cleaned with running</w:t>
      </w:r>
      <w:r w:rsidRPr="004565F6">
        <w:rPr>
          <w:lang w:val="en-US" w:eastAsia="en-US"/>
        </w:rPr>
        <w:t xml:space="preserve"> water and left in a</w:t>
      </w:r>
      <w:r>
        <w:rPr>
          <w:lang w:val="en-US" w:eastAsia="en-US"/>
        </w:rPr>
        <w:t xml:space="preserve"> </w:t>
      </w:r>
      <w:r w:rsidRPr="004565F6">
        <w:rPr>
          <w:lang w:val="en-US" w:eastAsia="en-US"/>
        </w:rPr>
        <w:t>sodium hypochlorite solution (chlorine concentration of 2 to 2.5%) for 15 minutes and then peeled. For the</w:t>
      </w:r>
      <w:r>
        <w:rPr>
          <w:lang w:val="en-US" w:eastAsia="en-US"/>
        </w:rPr>
        <w:t xml:space="preserve"> tea preparation</w:t>
      </w:r>
      <w:r w:rsidRPr="004565F6">
        <w:rPr>
          <w:lang w:val="en-US" w:eastAsia="en-US"/>
        </w:rPr>
        <w:t xml:space="preserve">, 300 g of </w:t>
      </w:r>
      <w:r>
        <w:rPr>
          <w:lang w:val="en-US" w:eastAsia="en-US"/>
        </w:rPr>
        <w:t>pineapple peel</w:t>
      </w:r>
      <w:r w:rsidRPr="004565F6">
        <w:rPr>
          <w:lang w:val="en-US" w:eastAsia="en-US"/>
        </w:rPr>
        <w:t xml:space="preserve"> were b</w:t>
      </w:r>
      <w:r>
        <w:rPr>
          <w:lang w:val="en-US" w:eastAsia="en-US"/>
        </w:rPr>
        <w:t>oiled in 500 ml of water (100 °</w:t>
      </w:r>
      <w:r w:rsidRPr="004565F6">
        <w:rPr>
          <w:lang w:val="en-US" w:eastAsia="en-US"/>
        </w:rPr>
        <w:t xml:space="preserve">C) for approximately 5 minutes and </w:t>
      </w:r>
      <w:r>
        <w:rPr>
          <w:lang w:val="en-US" w:eastAsia="en-US"/>
        </w:rPr>
        <w:t>the liquid drained and the peels</w:t>
      </w:r>
      <w:r w:rsidRPr="004565F6">
        <w:rPr>
          <w:lang w:val="en-US" w:eastAsia="en-US"/>
        </w:rPr>
        <w:t xml:space="preserve"> discarded.</w:t>
      </w:r>
    </w:p>
    <w:p w:rsidR="001C2177" w:rsidRDefault="001C2177"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Formulations</w:t>
      </w:r>
    </w:p>
    <w:p w:rsidR="00E04078" w:rsidRPr="004C1E35" w:rsidRDefault="00E04078" w:rsidP="00571A63">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sidRPr="004565F6">
        <w:rPr>
          <w:lang w:val="en-US" w:eastAsia="en-US"/>
        </w:rPr>
        <w:t xml:space="preserve">Five formulations </w:t>
      </w:r>
      <w:r w:rsidR="00616E51" w:rsidRPr="00634F25">
        <w:rPr>
          <w:rStyle w:val="hps"/>
          <w:lang w:val="en-US"/>
        </w:rPr>
        <w:t>homemade</w:t>
      </w:r>
      <w:r w:rsidR="00616E51" w:rsidRPr="006C757E">
        <w:rPr>
          <w:lang w:val="en-US" w:eastAsia="en-US"/>
        </w:rPr>
        <w:t xml:space="preserve"> breads</w:t>
      </w:r>
      <w:r w:rsidR="00616E51" w:rsidRPr="009D41CB">
        <w:rPr>
          <w:lang w:val="en-US" w:eastAsia="en-US"/>
        </w:rPr>
        <w:t xml:space="preserve"> </w:t>
      </w:r>
      <w:r w:rsidRPr="004565F6">
        <w:rPr>
          <w:lang w:val="en-US" w:eastAsia="en-US"/>
        </w:rPr>
        <w:t xml:space="preserve">were </w:t>
      </w:r>
      <w:r>
        <w:rPr>
          <w:lang w:val="en-US" w:eastAsia="en-US"/>
        </w:rPr>
        <w:t xml:space="preserve">added of </w:t>
      </w:r>
      <w:r w:rsidRPr="004565F6">
        <w:rPr>
          <w:lang w:val="en-US" w:eastAsia="en-US"/>
        </w:rPr>
        <w:t>juice from pineapple peel and inulin. For purposes of classification was considered only the</w:t>
      </w:r>
      <w:r>
        <w:rPr>
          <w:lang w:val="en-US" w:eastAsia="en-US"/>
        </w:rPr>
        <w:t xml:space="preserve"> </w:t>
      </w:r>
      <w:r w:rsidRPr="004565F6">
        <w:rPr>
          <w:lang w:val="en-US" w:eastAsia="en-US"/>
        </w:rPr>
        <w:t>inulin addition</w:t>
      </w:r>
      <w:r>
        <w:rPr>
          <w:lang w:val="en-US" w:eastAsia="en-US"/>
        </w:rPr>
        <w:t>, as follows: F1 standard</w:t>
      </w:r>
      <w:r w:rsidRPr="004565F6">
        <w:rPr>
          <w:lang w:val="en-US" w:eastAsia="en-US"/>
        </w:rPr>
        <w:t xml:space="preserve"> (0%), F2 (20%), F3 (25%), F4 (30%) and F5 (35%). These percen</w:t>
      </w:r>
      <w:r>
        <w:rPr>
          <w:lang w:val="en-US" w:eastAsia="en-US"/>
        </w:rPr>
        <w:t>tages were defined after</w:t>
      </w:r>
      <w:r w:rsidRPr="004565F6">
        <w:rPr>
          <w:lang w:val="en-US" w:eastAsia="en-US"/>
        </w:rPr>
        <w:t xml:space="preserve"> sensory</w:t>
      </w:r>
      <w:r>
        <w:rPr>
          <w:lang w:val="en-US" w:eastAsia="en-US"/>
        </w:rPr>
        <w:t xml:space="preserve"> </w:t>
      </w:r>
      <w:r w:rsidRPr="004565F6">
        <w:rPr>
          <w:lang w:val="en-US" w:eastAsia="en-US"/>
        </w:rPr>
        <w:t>preliminary</w:t>
      </w:r>
      <w:r>
        <w:rPr>
          <w:lang w:val="en-US" w:eastAsia="en-US"/>
        </w:rPr>
        <w:t xml:space="preserve"> with product. In Chart 1 can be verified breads formulations </w:t>
      </w:r>
      <w:r w:rsidRPr="004565F6">
        <w:rPr>
          <w:lang w:val="en-US" w:eastAsia="en-US"/>
        </w:rPr>
        <w:t>added</w:t>
      </w:r>
      <w:r>
        <w:rPr>
          <w:lang w:val="en-US" w:eastAsia="en-US"/>
        </w:rPr>
        <w:t xml:space="preserve"> with</w:t>
      </w:r>
      <w:r w:rsidRPr="004565F6">
        <w:rPr>
          <w:lang w:val="en-US" w:eastAsia="en-US"/>
        </w:rPr>
        <w:t xml:space="preserve"> inulin.</w:t>
      </w:r>
    </w:p>
    <w:p w:rsidR="004840C8" w:rsidRDefault="004840C8" w:rsidP="00571A63">
      <w:pPr>
        <w:spacing w:line="360" w:lineRule="auto"/>
        <w:ind w:firstLine="708"/>
        <w:jc w:val="both"/>
        <w:rPr>
          <w:lang w:val="en-US" w:eastAsia="en-US"/>
        </w:rPr>
      </w:pPr>
    </w:p>
    <w:p w:rsidR="000940B2" w:rsidRDefault="000940B2" w:rsidP="00B924E1">
      <w:pPr>
        <w:spacing w:line="360" w:lineRule="auto"/>
        <w:jc w:val="both"/>
        <w:rPr>
          <w:lang w:val="en-US" w:eastAsia="en-US"/>
        </w:rPr>
      </w:pPr>
      <w:r>
        <w:rPr>
          <w:b/>
          <w:lang w:val="en-US" w:eastAsia="en-US"/>
        </w:rPr>
        <w:t>Chart 1.</w:t>
      </w:r>
      <w:r>
        <w:rPr>
          <w:lang w:val="en-US" w:eastAsia="en-US"/>
        </w:rPr>
        <w:t xml:space="preserve"> Formulations ingredients of flavored breads added with inulin</w:t>
      </w:r>
    </w:p>
    <w:p w:rsidR="00E04078" w:rsidRPr="002475E6" w:rsidRDefault="00E04078" w:rsidP="00B924E1">
      <w:pPr>
        <w:spacing w:line="360" w:lineRule="auto"/>
        <w:jc w:val="both"/>
        <w:rPr>
          <w:lang w:val="en-US" w:eastAsia="en-US"/>
        </w:rPr>
      </w:pP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3600"/>
        <w:gridCol w:w="1220"/>
        <w:gridCol w:w="1276"/>
        <w:gridCol w:w="1275"/>
        <w:gridCol w:w="1276"/>
        <w:gridCol w:w="1188"/>
      </w:tblGrid>
      <w:tr w:rsidR="000940B2" w:rsidRPr="00E946A0" w:rsidTr="00101636">
        <w:trPr>
          <w:trHeight w:val="285"/>
        </w:trPr>
        <w:tc>
          <w:tcPr>
            <w:tcW w:w="3600" w:type="dxa"/>
            <w:tcBorders>
              <w:top w:val="single" w:sz="4" w:space="0" w:color="auto"/>
              <w:left w:val="nil"/>
              <w:bottom w:val="single" w:sz="4" w:space="0" w:color="auto"/>
              <w:right w:val="nil"/>
            </w:tcBorders>
            <w:vAlign w:val="center"/>
          </w:tcPr>
          <w:p w:rsidR="000940B2" w:rsidRPr="00E946A0" w:rsidRDefault="000940B2" w:rsidP="00B924E1">
            <w:pPr>
              <w:spacing w:line="360" w:lineRule="auto"/>
            </w:pPr>
            <w:r w:rsidRPr="00E946A0">
              <w:rPr>
                <w:b/>
                <w:bCs/>
              </w:rPr>
              <w:t>Ingredient</w:t>
            </w:r>
            <w:r>
              <w:rPr>
                <w:b/>
                <w:bCs/>
              </w:rPr>
              <w:t>s</w:t>
            </w:r>
          </w:p>
        </w:tc>
        <w:tc>
          <w:tcPr>
            <w:tcW w:w="1220" w:type="dxa"/>
            <w:tcBorders>
              <w:top w:val="single" w:sz="4" w:space="0" w:color="auto"/>
              <w:left w:val="nil"/>
              <w:bottom w:val="single" w:sz="4" w:space="0" w:color="auto"/>
              <w:right w:val="nil"/>
            </w:tcBorders>
            <w:vAlign w:val="center"/>
          </w:tcPr>
          <w:p w:rsidR="000940B2" w:rsidRPr="00E946A0" w:rsidRDefault="000940B2" w:rsidP="00B924E1">
            <w:pPr>
              <w:spacing w:line="360" w:lineRule="auto"/>
              <w:jc w:val="center"/>
            </w:pPr>
            <w:r w:rsidRPr="00E946A0">
              <w:rPr>
                <w:b/>
                <w:bCs/>
              </w:rPr>
              <w:t>F1</w:t>
            </w:r>
          </w:p>
        </w:tc>
        <w:tc>
          <w:tcPr>
            <w:tcW w:w="1276" w:type="dxa"/>
            <w:tcBorders>
              <w:top w:val="single" w:sz="4" w:space="0" w:color="auto"/>
              <w:left w:val="nil"/>
              <w:bottom w:val="single" w:sz="4" w:space="0" w:color="auto"/>
              <w:right w:val="nil"/>
            </w:tcBorders>
            <w:vAlign w:val="center"/>
          </w:tcPr>
          <w:p w:rsidR="000940B2" w:rsidRPr="00E946A0" w:rsidRDefault="000940B2" w:rsidP="00B924E1">
            <w:pPr>
              <w:spacing w:line="360" w:lineRule="auto"/>
              <w:jc w:val="center"/>
            </w:pPr>
            <w:r w:rsidRPr="00E946A0">
              <w:rPr>
                <w:b/>
                <w:bCs/>
              </w:rPr>
              <w:t>F2</w:t>
            </w:r>
          </w:p>
        </w:tc>
        <w:tc>
          <w:tcPr>
            <w:tcW w:w="1275" w:type="dxa"/>
            <w:tcBorders>
              <w:top w:val="single" w:sz="4" w:space="0" w:color="auto"/>
              <w:left w:val="nil"/>
              <w:bottom w:val="single" w:sz="4" w:space="0" w:color="auto"/>
              <w:right w:val="nil"/>
            </w:tcBorders>
            <w:vAlign w:val="center"/>
          </w:tcPr>
          <w:p w:rsidR="000940B2" w:rsidRPr="00E946A0" w:rsidRDefault="000940B2" w:rsidP="00B924E1">
            <w:pPr>
              <w:spacing w:line="360" w:lineRule="auto"/>
              <w:jc w:val="center"/>
            </w:pPr>
            <w:r w:rsidRPr="00E946A0">
              <w:rPr>
                <w:b/>
                <w:bCs/>
              </w:rPr>
              <w:t>F3</w:t>
            </w:r>
          </w:p>
        </w:tc>
        <w:tc>
          <w:tcPr>
            <w:tcW w:w="1276" w:type="dxa"/>
            <w:tcBorders>
              <w:top w:val="single" w:sz="4" w:space="0" w:color="auto"/>
              <w:left w:val="nil"/>
              <w:bottom w:val="single" w:sz="4" w:space="0" w:color="auto"/>
              <w:right w:val="nil"/>
            </w:tcBorders>
            <w:vAlign w:val="center"/>
          </w:tcPr>
          <w:p w:rsidR="000940B2" w:rsidRPr="00E946A0" w:rsidRDefault="000940B2" w:rsidP="00B924E1">
            <w:pPr>
              <w:spacing w:line="360" w:lineRule="auto"/>
              <w:jc w:val="center"/>
            </w:pPr>
            <w:r w:rsidRPr="00E946A0">
              <w:rPr>
                <w:b/>
                <w:bCs/>
              </w:rPr>
              <w:t>F4</w:t>
            </w:r>
          </w:p>
        </w:tc>
        <w:tc>
          <w:tcPr>
            <w:tcW w:w="1188" w:type="dxa"/>
            <w:tcBorders>
              <w:top w:val="single" w:sz="4" w:space="0" w:color="auto"/>
              <w:left w:val="nil"/>
              <w:bottom w:val="single" w:sz="4" w:space="0" w:color="auto"/>
              <w:right w:val="nil"/>
            </w:tcBorders>
            <w:vAlign w:val="center"/>
          </w:tcPr>
          <w:p w:rsidR="000940B2" w:rsidRPr="00E946A0" w:rsidRDefault="000940B2" w:rsidP="00B924E1">
            <w:pPr>
              <w:spacing w:line="360" w:lineRule="auto"/>
              <w:jc w:val="center"/>
            </w:pPr>
            <w:r w:rsidRPr="00E946A0">
              <w:rPr>
                <w:b/>
                <w:bCs/>
              </w:rPr>
              <w:t>F5</w:t>
            </w:r>
          </w:p>
        </w:tc>
      </w:tr>
      <w:tr w:rsidR="000940B2" w:rsidRPr="00E946A0" w:rsidTr="00101636">
        <w:trPr>
          <w:trHeight w:val="63"/>
        </w:trPr>
        <w:tc>
          <w:tcPr>
            <w:tcW w:w="3600" w:type="dxa"/>
            <w:tcBorders>
              <w:top w:val="single" w:sz="4" w:space="0" w:color="auto"/>
              <w:left w:val="nil"/>
              <w:bottom w:val="nil"/>
              <w:right w:val="nil"/>
            </w:tcBorders>
            <w:vAlign w:val="center"/>
          </w:tcPr>
          <w:p w:rsidR="000940B2" w:rsidRPr="001373C3" w:rsidRDefault="000940B2" w:rsidP="00B924E1">
            <w:pPr>
              <w:spacing w:line="360" w:lineRule="auto"/>
            </w:pPr>
            <w:r w:rsidRPr="001373C3">
              <w:rPr>
                <w:rStyle w:val="hps"/>
              </w:rPr>
              <w:t>Refined wheat flour</w:t>
            </w:r>
            <w:r w:rsidRPr="001373C3">
              <w:t xml:space="preserve"> (%)</w:t>
            </w:r>
          </w:p>
        </w:tc>
        <w:tc>
          <w:tcPr>
            <w:tcW w:w="1220" w:type="dxa"/>
            <w:tcBorders>
              <w:top w:val="single" w:sz="4" w:space="0" w:color="auto"/>
              <w:left w:val="nil"/>
              <w:bottom w:val="nil"/>
              <w:right w:val="nil"/>
            </w:tcBorders>
            <w:vAlign w:val="center"/>
          </w:tcPr>
          <w:p w:rsidR="000940B2" w:rsidRPr="00E946A0" w:rsidRDefault="000940B2" w:rsidP="00B924E1">
            <w:pPr>
              <w:spacing w:line="360" w:lineRule="auto"/>
              <w:jc w:val="center"/>
            </w:pPr>
            <w:r w:rsidRPr="00E946A0">
              <w:t>52,63</w:t>
            </w:r>
          </w:p>
        </w:tc>
        <w:tc>
          <w:tcPr>
            <w:tcW w:w="1276" w:type="dxa"/>
            <w:tcBorders>
              <w:top w:val="single" w:sz="4" w:space="0" w:color="auto"/>
              <w:left w:val="nil"/>
              <w:bottom w:val="nil"/>
              <w:right w:val="nil"/>
            </w:tcBorders>
            <w:vAlign w:val="center"/>
          </w:tcPr>
          <w:p w:rsidR="000940B2" w:rsidRPr="00E946A0" w:rsidRDefault="000940B2" w:rsidP="00B924E1">
            <w:pPr>
              <w:spacing w:line="360" w:lineRule="auto"/>
              <w:jc w:val="center"/>
            </w:pPr>
            <w:r w:rsidRPr="00E946A0">
              <w:t>44,21</w:t>
            </w:r>
          </w:p>
        </w:tc>
        <w:tc>
          <w:tcPr>
            <w:tcW w:w="1275" w:type="dxa"/>
            <w:tcBorders>
              <w:top w:val="single" w:sz="4" w:space="0" w:color="auto"/>
              <w:left w:val="nil"/>
              <w:bottom w:val="nil"/>
              <w:right w:val="nil"/>
            </w:tcBorders>
            <w:vAlign w:val="center"/>
          </w:tcPr>
          <w:p w:rsidR="000940B2" w:rsidRPr="00E946A0" w:rsidRDefault="000940B2" w:rsidP="00B924E1">
            <w:pPr>
              <w:spacing w:line="360" w:lineRule="auto"/>
              <w:jc w:val="center"/>
            </w:pPr>
            <w:r w:rsidRPr="00E946A0">
              <w:t>39,21</w:t>
            </w:r>
          </w:p>
        </w:tc>
        <w:tc>
          <w:tcPr>
            <w:tcW w:w="1276" w:type="dxa"/>
            <w:tcBorders>
              <w:top w:val="single" w:sz="4" w:space="0" w:color="auto"/>
              <w:left w:val="nil"/>
              <w:bottom w:val="nil"/>
              <w:right w:val="nil"/>
            </w:tcBorders>
            <w:vAlign w:val="center"/>
          </w:tcPr>
          <w:p w:rsidR="000940B2" w:rsidRPr="00E946A0" w:rsidRDefault="000940B2" w:rsidP="00B924E1">
            <w:pPr>
              <w:spacing w:line="360" w:lineRule="auto"/>
              <w:jc w:val="center"/>
            </w:pPr>
            <w:r w:rsidRPr="00E946A0">
              <w:t>34,21</w:t>
            </w:r>
          </w:p>
        </w:tc>
        <w:tc>
          <w:tcPr>
            <w:tcW w:w="1188" w:type="dxa"/>
            <w:tcBorders>
              <w:top w:val="single" w:sz="4" w:space="0" w:color="auto"/>
              <w:left w:val="nil"/>
              <w:bottom w:val="nil"/>
              <w:right w:val="nil"/>
            </w:tcBorders>
            <w:vAlign w:val="center"/>
          </w:tcPr>
          <w:p w:rsidR="000940B2" w:rsidRPr="00E946A0" w:rsidRDefault="000940B2" w:rsidP="00B924E1">
            <w:pPr>
              <w:spacing w:line="360" w:lineRule="auto"/>
              <w:jc w:val="center"/>
            </w:pPr>
            <w:r w:rsidRPr="00E946A0">
              <w:t>29,21</w:t>
            </w:r>
          </w:p>
        </w:tc>
      </w:tr>
      <w:tr w:rsidR="000940B2" w:rsidRPr="00E946A0" w:rsidTr="00101636">
        <w:trPr>
          <w:trHeight w:val="214"/>
        </w:trPr>
        <w:tc>
          <w:tcPr>
            <w:tcW w:w="3600" w:type="dxa"/>
            <w:tcBorders>
              <w:top w:val="nil"/>
              <w:left w:val="nil"/>
              <w:bottom w:val="nil"/>
              <w:right w:val="nil"/>
            </w:tcBorders>
            <w:vAlign w:val="center"/>
          </w:tcPr>
          <w:p w:rsidR="000940B2" w:rsidRPr="001373C3" w:rsidRDefault="000940B2" w:rsidP="00B924E1">
            <w:pPr>
              <w:spacing w:line="360" w:lineRule="auto"/>
            </w:pPr>
            <w:r>
              <w:t>P</w:t>
            </w:r>
            <w:r w:rsidRPr="001373C3">
              <w:t xml:space="preserve">ineapple </w:t>
            </w:r>
            <w:r>
              <w:t>p</w:t>
            </w:r>
            <w:r w:rsidRPr="001373C3">
              <w:t>eel juice (%)</w:t>
            </w:r>
          </w:p>
        </w:tc>
        <w:tc>
          <w:tcPr>
            <w:tcW w:w="1220" w:type="dxa"/>
            <w:tcBorders>
              <w:top w:val="nil"/>
              <w:left w:val="nil"/>
              <w:bottom w:val="nil"/>
              <w:right w:val="nil"/>
            </w:tcBorders>
            <w:vAlign w:val="center"/>
          </w:tcPr>
          <w:p w:rsidR="000940B2" w:rsidRPr="00E946A0" w:rsidRDefault="000940B2" w:rsidP="00B924E1">
            <w:pPr>
              <w:spacing w:line="360" w:lineRule="auto"/>
              <w:jc w:val="center"/>
            </w:pPr>
            <w:r w:rsidRPr="00E946A0">
              <w:t>21,05</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21,05</w:t>
            </w:r>
          </w:p>
        </w:tc>
        <w:tc>
          <w:tcPr>
            <w:tcW w:w="1275" w:type="dxa"/>
            <w:tcBorders>
              <w:top w:val="nil"/>
              <w:left w:val="nil"/>
              <w:bottom w:val="nil"/>
              <w:right w:val="nil"/>
            </w:tcBorders>
            <w:vAlign w:val="center"/>
          </w:tcPr>
          <w:p w:rsidR="000940B2" w:rsidRPr="00E946A0" w:rsidRDefault="000940B2" w:rsidP="00B924E1">
            <w:pPr>
              <w:spacing w:line="360" w:lineRule="auto"/>
              <w:jc w:val="center"/>
            </w:pPr>
            <w:r w:rsidRPr="00E946A0">
              <w:t>21,05</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21,05</w:t>
            </w:r>
          </w:p>
        </w:tc>
        <w:tc>
          <w:tcPr>
            <w:tcW w:w="1188" w:type="dxa"/>
            <w:tcBorders>
              <w:top w:val="nil"/>
              <w:left w:val="nil"/>
              <w:bottom w:val="nil"/>
              <w:right w:val="nil"/>
            </w:tcBorders>
            <w:vAlign w:val="center"/>
          </w:tcPr>
          <w:p w:rsidR="000940B2" w:rsidRPr="00E946A0" w:rsidRDefault="000940B2" w:rsidP="00B924E1">
            <w:pPr>
              <w:spacing w:line="360" w:lineRule="auto"/>
              <w:jc w:val="center"/>
            </w:pPr>
            <w:r w:rsidRPr="00E946A0">
              <w:t>21,05</w:t>
            </w:r>
          </w:p>
        </w:tc>
      </w:tr>
      <w:tr w:rsidR="000940B2" w:rsidRPr="00E946A0" w:rsidTr="00101636">
        <w:trPr>
          <w:trHeight w:val="240"/>
        </w:trPr>
        <w:tc>
          <w:tcPr>
            <w:tcW w:w="3600" w:type="dxa"/>
            <w:tcBorders>
              <w:top w:val="nil"/>
              <w:left w:val="nil"/>
              <w:bottom w:val="nil"/>
              <w:right w:val="nil"/>
            </w:tcBorders>
            <w:vAlign w:val="center"/>
          </w:tcPr>
          <w:p w:rsidR="000940B2" w:rsidRPr="001373C3" w:rsidRDefault="000940B2" w:rsidP="00B924E1">
            <w:pPr>
              <w:spacing w:line="360" w:lineRule="auto"/>
            </w:pPr>
            <w:r w:rsidRPr="001373C3">
              <w:rPr>
                <w:rStyle w:val="hps"/>
              </w:rPr>
              <w:t>Crystal sugar</w:t>
            </w:r>
            <w:r w:rsidRPr="001373C3">
              <w:t xml:space="preserve"> (%)</w:t>
            </w:r>
          </w:p>
        </w:tc>
        <w:tc>
          <w:tcPr>
            <w:tcW w:w="1220" w:type="dxa"/>
            <w:tcBorders>
              <w:top w:val="nil"/>
              <w:left w:val="nil"/>
              <w:bottom w:val="nil"/>
              <w:right w:val="nil"/>
            </w:tcBorders>
            <w:vAlign w:val="center"/>
          </w:tcPr>
          <w:p w:rsidR="000940B2" w:rsidRPr="00E946A0" w:rsidRDefault="000940B2" w:rsidP="00B924E1">
            <w:pPr>
              <w:spacing w:line="360" w:lineRule="auto"/>
              <w:jc w:val="center"/>
            </w:pPr>
            <w:r w:rsidRPr="00E946A0">
              <w:t>11,58</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0</w:t>
            </w:r>
            <w:r>
              <w:t>,00</w:t>
            </w:r>
          </w:p>
        </w:tc>
        <w:tc>
          <w:tcPr>
            <w:tcW w:w="1275" w:type="dxa"/>
            <w:tcBorders>
              <w:top w:val="nil"/>
              <w:left w:val="nil"/>
              <w:bottom w:val="nil"/>
              <w:right w:val="nil"/>
            </w:tcBorders>
            <w:vAlign w:val="center"/>
          </w:tcPr>
          <w:p w:rsidR="000940B2" w:rsidRPr="00E946A0" w:rsidRDefault="000940B2" w:rsidP="00B924E1">
            <w:pPr>
              <w:spacing w:line="360" w:lineRule="auto"/>
              <w:jc w:val="center"/>
            </w:pPr>
            <w:r w:rsidRPr="00E946A0">
              <w:t>0</w:t>
            </w:r>
            <w:r>
              <w:t>,00</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0</w:t>
            </w:r>
            <w:r>
              <w:t>,00</w:t>
            </w:r>
          </w:p>
        </w:tc>
        <w:tc>
          <w:tcPr>
            <w:tcW w:w="1188" w:type="dxa"/>
            <w:tcBorders>
              <w:top w:val="nil"/>
              <w:left w:val="nil"/>
              <w:bottom w:val="nil"/>
              <w:right w:val="nil"/>
            </w:tcBorders>
            <w:vAlign w:val="center"/>
          </w:tcPr>
          <w:p w:rsidR="000940B2" w:rsidRPr="00E946A0" w:rsidRDefault="000940B2" w:rsidP="00B924E1">
            <w:pPr>
              <w:spacing w:line="360" w:lineRule="auto"/>
              <w:jc w:val="center"/>
            </w:pPr>
            <w:r w:rsidRPr="00E946A0">
              <w:t>0</w:t>
            </w:r>
            <w:r>
              <w:t>,00</w:t>
            </w:r>
          </w:p>
        </w:tc>
      </w:tr>
      <w:tr w:rsidR="000940B2" w:rsidRPr="00E946A0" w:rsidTr="00101636">
        <w:trPr>
          <w:trHeight w:val="234"/>
        </w:trPr>
        <w:tc>
          <w:tcPr>
            <w:tcW w:w="3600" w:type="dxa"/>
            <w:tcBorders>
              <w:top w:val="nil"/>
              <w:left w:val="nil"/>
              <w:bottom w:val="nil"/>
              <w:right w:val="nil"/>
            </w:tcBorders>
            <w:vAlign w:val="center"/>
          </w:tcPr>
          <w:p w:rsidR="000940B2" w:rsidRPr="001373C3" w:rsidRDefault="000940B2" w:rsidP="00B924E1">
            <w:pPr>
              <w:spacing w:line="360" w:lineRule="auto"/>
            </w:pPr>
            <w:r w:rsidRPr="001373C3">
              <w:rPr>
                <w:rStyle w:val="hps"/>
              </w:rPr>
              <w:t>Egg yolk</w:t>
            </w:r>
            <w:r w:rsidRPr="001373C3">
              <w:t xml:space="preserve"> (%)</w:t>
            </w:r>
          </w:p>
        </w:tc>
        <w:tc>
          <w:tcPr>
            <w:tcW w:w="1220" w:type="dxa"/>
            <w:tcBorders>
              <w:top w:val="nil"/>
              <w:left w:val="nil"/>
              <w:bottom w:val="nil"/>
              <w:right w:val="nil"/>
            </w:tcBorders>
            <w:vAlign w:val="center"/>
          </w:tcPr>
          <w:p w:rsidR="000940B2" w:rsidRPr="00E946A0" w:rsidRDefault="000940B2" w:rsidP="00B924E1">
            <w:pPr>
              <w:spacing w:line="360" w:lineRule="auto"/>
              <w:jc w:val="center"/>
            </w:pPr>
            <w:r w:rsidRPr="00E946A0">
              <w:t>6,32</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6,32</w:t>
            </w:r>
          </w:p>
        </w:tc>
        <w:tc>
          <w:tcPr>
            <w:tcW w:w="1275" w:type="dxa"/>
            <w:tcBorders>
              <w:top w:val="nil"/>
              <w:left w:val="nil"/>
              <w:bottom w:val="nil"/>
              <w:right w:val="nil"/>
            </w:tcBorders>
            <w:vAlign w:val="center"/>
          </w:tcPr>
          <w:p w:rsidR="000940B2" w:rsidRPr="00E946A0" w:rsidRDefault="000940B2" w:rsidP="00B924E1">
            <w:pPr>
              <w:spacing w:line="360" w:lineRule="auto"/>
              <w:jc w:val="center"/>
            </w:pPr>
            <w:r w:rsidRPr="00E946A0">
              <w:t>6,32</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6,32</w:t>
            </w:r>
          </w:p>
        </w:tc>
        <w:tc>
          <w:tcPr>
            <w:tcW w:w="1188" w:type="dxa"/>
            <w:tcBorders>
              <w:top w:val="nil"/>
              <w:left w:val="nil"/>
              <w:bottom w:val="nil"/>
              <w:right w:val="nil"/>
            </w:tcBorders>
            <w:vAlign w:val="center"/>
          </w:tcPr>
          <w:p w:rsidR="000940B2" w:rsidRPr="00E946A0" w:rsidRDefault="000940B2" w:rsidP="00B924E1">
            <w:pPr>
              <w:spacing w:line="360" w:lineRule="auto"/>
              <w:jc w:val="center"/>
            </w:pPr>
            <w:r w:rsidRPr="00E946A0">
              <w:t>6,32</w:t>
            </w:r>
          </w:p>
        </w:tc>
      </w:tr>
      <w:tr w:rsidR="000940B2" w:rsidRPr="00E946A0" w:rsidTr="00101636">
        <w:trPr>
          <w:trHeight w:val="279"/>
        </w:trPr>
        <w:tc>
          <w:tcPr>
            <w:tcW w:w="3600" w:type="dxa"/>
            <w:tcBorders>
              <w:top w:val="nil"/>
              <w:left w:val="nil"/>
              <w:bottom w:val="nil"/>
              <w:right w:val="nil"/>
            </w:tcBorders>
            <w:vAlign w:val="center"/>
          </w:tcPr>
          <w:p w:rsidR="000940B2" w:rsidRPr="001373C3" w:rsidRDefault="000940B2" w:rsidP="00B924E1">
            <w:pPr>
              <w:spacing w:line="360" w:lineRule="auto"/>
            </w:pPr>
            <w:r w:rsidRPr="001373C3">
              <w:t>Margarine (%)</w:t>
            </w:r>
          </w:p>
        </w:tc>
        <w:tc>
          <w:tcPr>
            <w:tcW w:w="1220" w:type="dxa"/>
            <w:tcBorders>
              <w:top w:val="nil"/>
              <w:left w:val="nil"/>
              <w:bottom w:val="nil"/>
              <w:right w:val="nil"/>
            </w:tcBorders>
            <w:vAlign w:val="center"/>
          </w:tcPr>
          <w:p w:rsidR="000940B2" w:rsidRPr="00E946A0" w:rsidRDefault="000940B2" w:rsidP="00B924E1">
            <w:pPr>
              <w:spacing w:line="360" w:lineRule="auto"/>
              <w:jc w:val="center"/>
            </w:pPr>
            <w:r w:rsidRPr="00E946A0">
              <w:t>5,26</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5,26</w:t>
            </w:r>
          </w:p>
        </w:tc>
        <w:tc>
          <w:tcPr>
            <w:tcW w:w="1275" w:type="dxa"/>
            <w:tcBorders>
              <w:top w:val="nil"/>
              <w:left w:val="nil"/>
              <w:bottom w:val="nil"/>
              <w:right w:val="nil"/>
            </w:tcBorders>
            <w:vAlign w:val="center"/>
          </w:tcPr>
          <w:p w:rsidR="000940B2" w:rsidRPr="00E946A0" w:rsidRDefault="000940B2" w:rsidP="00B924E1">
            <w:pPr>
              <w:spacing w:line="360" w:lineRule="auto"/>
              <w:jc w:val="center"/>
            </w:pPr>
            <w:r w:rsidRPr="00E946A0">
              <w:t>5,26</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5,26</w:t>
            </w:r>
          </w:p>
        </w:tc>
        <w:tc>
          <w:tcPr>
            <w:tcW w:w="1188" w:type="dxa"/>
            <w:tcBorders>
              <w:top w:val="nil"/>
              <w:left w:val="nil"/>
              <w:bottom w:val="nil"/>
              <w:right w:val="nil"/>
            </w:tcBorders>
            <w:vAlign w:val="center"/>
          </w:tcPr>
          <w:p w:rsidR="000940B2" w:rsidRPr="00E946A0" w:rsidRDefault="000940B2" w:rsidP="00B924E1">
            <w:pPr>
              <w:spacing w:line="360" w:lineRule="auto"/>
              <w:jc w:val="center"/>
            </w:pPr>
            <w:r w:rsidRPr="00E946A0">
              <w:t>5,26</w:t>
            </w:r>
          </w:p>
        </w:tc>
      </w:tr>
      <w:tr w:rsidR="000940B2" w:rsidRPr="00E946A0" w:rsidTr="00101636">
        <w:trPr>
          <w:trHeight w:val="445"/>
        </w:trPr>
        <w:tc>
          <w:tcPr>
            <w:tcW w:w="3600" w:type="dxa"/>
            <w:tcBorders>
              <w:top w:val="nil"/>
              <w:left w:val="nil"/>
              <w:bottom w:val="nil"/>
              <w:right w:val="nil"/>
            </w:tcBorders>
            <w:vAlign w:val="center"/>
          </w:tcPr>
          <w:p w:rsidR="000940B2" w:rsidRPr="001373C3" w:rsidRDefault="000940B2" w:rsidP="00B924E1">
            <w:pPr>
              <w:spacing w:line="360" w:lineRule="auto"/>
            </w:pPr>
            <w:r w:rsidRPr="001373C3">
              <w:t>Fresh yeast (%)</w:t>
            </w:r>
          </w:p>
        </w:tc>
        <w:tc>
          <w:tcPr>
            <w:tcW w:w="1220" w:type="dxa"/>
            <w:tcBorders>
              <w:top w:val="nil"/>
              <w:left w:val="nil"/>
              <w:bottom w:val="nil"/>
              <w:right w:val="nil"/>
            </w:tcBorders>
            <w:vAlign w:val="center"/>
          </w:tcPr>
          <w:p w:rsidR="000940B2" w:rsidRPr="00E946A0" w:rsidRDefault="000940B2" w:rsidP="00B924E1">
            <w:pPr>
              <w:spacing w:line="360" w:lineRule="auto"/>
              <w:jc w:val="center"/>
            </w:pPr>
            <w:r w:rsidRPr="00E946A0">
              <w:t>3,16</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3,16</w:t>
            </w:r>
          </w:p>
        </w:tc>
        <w:tc>
          <w:tcPr>
            <w:tcW w:w="1275" w:type="dxa"/>
            <w:tcBorders>
              <w:top w:val="nil"/>
              <w:left w:val="nil"/>
              <w:bottom w:val="nil"/>
              <w:right w:val="nil"/>
            </w:tcBorders>
            <w:vAlign w:val="center"/>
          </w:tcPr>
          <w:p w:rsidR="000940B2" w:rsidRPr="00E946A0" w:rsidRDefault="000940B2" w:rsidP="00B924E1">
            <w:pPr>
              <w:spacing w:line="360" w:lineRule="auto"/>
              <w:jc w:val="center"/>
            </w:pPr>
            <w:r w:rsidRPr="00E946A0">
              <w:t>3,16</w:t>
            </w:r>
          </w:p>
        </w:tc>
        <w:tc>
          <w:tcPr>
            <w:tcW w:w="1276" w:type="dxa"/>
            <w:tcBorders>
              <w:top w:val="nil"/>
              <w:left w:val="nil"/>
              <w:bottom w:val="nil"/>
              <w:right w:val="nil"/>
            </w:tcBorders>
            <w:vAlign w:val="center"/>
          </w:tcPr>
          <w:p w:rsidR="000940B2" w:rsidRPr="00E946A0" w:rsidRDefault="000940B2" w:rsidP="00B924E1">
            <w:pPr>
              <w:spacing w:line="360" w:lineRule="auto"/>
              <w:jc w:val="center"/>
            </w:pPr>
            <w:r w:rsidRPr="00E946A0">
              <w:t>3,16</w:t>
            </w:r>
          </w:p>
        </w:tc>
        <w:tc>
          <w:tcPr>
            <w:tcW w:w="1188" w:type="dxa"/>
            <w:tcBorders>
              <w:top w:val="nil"/>
              <w:left w:val="nil"/>
              <w:bottom w:val="nil"/>
              <w:right w:val="nil"/>
            </w:tcBorders>
            <w:vAlign w:val="center"/>
          </w:tcPr>
          <w:p w:rsidR="000940B2" w:rsidRPr="00E946A0" w:rsidRDefault="000940B2" w:rsidP="00B924E1">
            <w:pPr>
              <w:spacing w:line="360" w:lineRule="auto"/>
              <w:jc w:val="center"/>
            </w:pPr>
            <w:r w:rsidRPr="00E946A0">
              <w:t>3,16</w:t>
            </w:r>
          </w:p>
        </w:tc>
      </w:tr>
      <w:tr w:rsidR="000940B2" w:rsidRPr="00E946A0" w:rsidTr="00101636">
        <w:trPr>
          <w:trHeight w:val="279"/>
        </w:trPr>
        <w:tc>
          <w:tcPr>
            <w:tcW w:w="3600" w:type="dxa"/>
            <w:tcBorders>
              <w:top w:val="nil"/>
              <w:left w:val="nil"/>
              <w:bottom w:val="single" w:sz="4" w:space="0" w:color="auto"/>
              <w:right w:val="nil"/>
            </w:tcBorders>
            <w:vAlign w:val="center"/>
          </w:tcPr>
          <w:p w:rsidR="000940B2" w:rsidRPr="001373C3" w:rsidRDefault="000940B2" w:rsidP="00B924E1">
            <w:pPr>
              <w:spacing w:line="360" w:lineRule="auto"/>
            </w:pPr>
            <w:r w:rsidRPr="001373C3">
              <w:t>Inulin powder (%)</w:t>
            </w:r>
          </w:p>
        </w:tc>
        <w:tc>
          <w:tcPr>
            <w:tcW w:w="1220" w:type="dxa"/>
            <w:tcBorders>
              <w:top w:val="nil"/>
              <w:left w:val="nil"/>
              <w:bottom w:val="single" w:sz="4" w:space="0" w:color="auto"/>
              <w:right w:val="nil"/>
            </w:tcBorders>
            <w:vAlign w:val="center"/>
          </w:tcPr>
          <w:p w:rsidR="000940B2" w:rsidRPr="00E946A0" w:rsidRDefault="000940B2" w:rsidP="00B924E1">
            <w:pPr>
              <w:spacing w:line="360" w:lineRule="auto"/>
              <w:jc w:val="center"/>
            </w:pPr>
            <w:r w:rsidRPr="00E946A0">
              <w:t>0</w:t>
            </w:r>
            <w:r>
              <w:t>,00</w:t>
            </w:r>
          </w:p>
        </w:tc>
        <w:tc>
          <w:tcPr>
            <w:tcW w:w="1276" w:type="dxa"/>
            <w:tcBorders>
              <w:top w:val="nil"/>
              <w:left w:val="nil"/>
              <w:bottom w:val="single" w:sz="4" w:space="0" w:color="auto"/>
              <w:right w:val="nil"/>
            </w:tcBorders>
            <w:vAlign w:val="center"/>
          </w:tcPr>
          <w:p w:rsidR="000940B2" w:rsidRPr="00E946A0" w:rsidRDefault="000940B2" w:rsidP="00B924E1">
            <w:pPr>
              <w:spacing w:line="360" w:lineRule="auto"/>
              <w:jc w:val="center"/>
            </w:pPr>
            <w:r w:rsidRPr="00E946A0">
              <w:t>20</w:t>
            </w:r>
            <w:r>
              <w:t>,00</w:t>
            </w:r>
          </w:p>
        </w:tc>
        <w:tc>
          <w:tcPr>
            <w:tcW w:w="1275" w:type="dxa"/>
            <w:tcBorders>
              <w:top w:val="nil"/>
              <w:left w:val="nil"/>
              <w:bottom w:val="single" w:sz="4" w:space="0" w:color="auto"/>
              <w:right w:val="nil"/>
            </w:tcBorders>
            <w:vAlign w:val="center"/>
          </w:tcPr>
          <w:p w:rsidR="000940B2" w:rsidRPr="00E946A0" w:rsidRDefault="000940B2" w:rsidP="00B924E1">
            <w:pPr>
              <w:spacing w:line="360" w:lineRule="auto"/>
              <w:jc w:val="center"/>
            </w:pPr>
            <w:r w:rsidRPr="00E946A0">
              <w:t>25</w:t>
            </w:r>
            <w:r>
              <w:t>,00</w:t>
            </w:r>
          </w:p>
        </w:tc>
        <w:tc>
          <w:tcPr>
            <w:tcW w:w="1276" w:type="dxa"/>
            <w:tcBorders>
              <w:top w:val="nil"/>
              <w:left w:val="nil"/>
              <w:bottom w:val="single" w:sz="4" w:space="0" w:color="auto"/>
              <w:right w:val="nil"/>
            </w:tcBorders>
            <w:vAlign w:val="center"/>
          </w:tcPr>
          <w:p w:rsidR="000940B2" w:rsidRPr="00E946A0" w:rsidRDefault="000940B2" w:rsidP="00B924E1">
            <w:pPr>
              <w:spacing w:line="360" w:lineRule="auto"/>
              <w:jc w:val="center"/>
            </w:pPr>
            <w:r w:rsidRPr="00E946A0">
              <w:t>30</w:t>
            </w:r>
            <w:r>
              <w:t>,00</w:t>
            </w:r>
          </w:p>
        </w:tc>
        <w:tc>
          <w:tcPr>
            <w:tcW w:w="1188" w:type="dxa"/>
            <w:tcBorders>
              <w:top w:val="nil"/>
              <w:left w:val="nil"/>
              <w:bottom w:val="single" w:sz="4" w:space="0" w:color="auto"/>
              <w:right w:val="nil"/>
            </w:tcBorders>
            <w:vAlign w:val="center"/>
          </w:tcPr>
          <w:p w:rsidR="000940B2" w:rsidRPr="00E946A0" w:rsidRDefault="000940B2" w:rsidP="00B924E1">
            <w:pPr>
              <w:spacing w:line="360" w:lineRule="auto"/>
              <w:jc w:val="center"/>
            </w:pPr>
            <w:r w:rsidRPr="00E946A0">
              <w:t>35</w:t>
            </w:r>
            <w:r>
              <w:t>,00</w:t>
            </w:r>
          </w:p>
        </w:tc>
      </w:tr>
    </w:tbl>
    <w:p w:rsidR="000940B2" w:rsidRPr="00492BC8" w:rsidRDefault="000940B2" w:rsidP="00B924E1">
      <w:pPr>
        <w:spacing w:line="360" w:lineRule="auto"/>
        <w:jc w:val="both"/>
        <w:rPr>
          <w:sz w:val="20"/>
          <w:szCs w:val="20"/>
          <w:lang w:val="en-US"/>
        </w:rPr>
      </w:pPr>
      <w:r>
        <w:rPr>
          <w:sz w:val="20"/>
          <w:szCs w:val="20"/>
          <w:lang w:val="en-US"/>
        </w:rPr>
        <w:t>F1:</w:t>
      </w:r>
      <w:r w:rsidRPr="00492BC8">
        <w:rPr>
          <w:sz w:val="20"/>
          <w:szCs w:val="20"/>
          <w:lang w:val="en-US"/>
        </w:rPr>
        <w:t xml:space="preserve"> standard</w:t>
      </w:r>
      <w:r>
        <w:rPr>
          <w:sz w:val="20"/>
          <w:szCs w:val="20"/>
          <w:lang w:val="en-US"/>
        </w:rPr>
        <w:t>; F2:</w:t>
      </w:r>
      <w:r w:rsidRPr="00492BC8">
        <w:rPr>
          <w:sz w:val="20"/>
          <w:szCs w:val="20"/>
          <w:lang w:val="en-US"/>
        </w:rPr>
        <w:t xml:space="preserve"> 20% of</w:t>
      </w:r>
      <w:r>
        <w:rPr>
          <w:sz w:val="20"/>
          <w:szCs w:val="20"/>
          <w:lang w:val="en-US"/>
        </w:rPr>
        <w:t xml:space="preserve"> inulin; F3:</w:t>
      </w:r>
      <w:r w:rsidRPr="00492BC8">
        <w:rPr>
          <w:sz w:val="20"/>
          <w:szCs w:val="20"/>
          <w:lang w:val="en-US"/>
        </w:rPr>
        <w:t xml:space="preserve"> 25% of inulin</w:t>
      </w:r>
      <w:r>
        <w:rPr>
          <w:sz w:val="20"/>
          <w:szCs w:val="20"/>
          <w:lang w:val="en-US"/>
        </w:rPr>
        <w:t>; F4:</w:t>
      </w:r>
      <w:r w:rsidRPr="00492BC8">
        <w:rPr>
          <w:sz w:val="20"/>
          <w:szCs w:val="20"/>
          <w:lang w:val="en-US"/>
        </w:rPr>
        <w:t xml:space="preserve"> 30% of inulin</w:t>
      </w:r>
      <w:r>
        <w:rPr>
          <w:sz w:val="20"/>
          <w:szCs w:val="20"/>
          <w:lang w:val="en-US"/>
        </w:rPr>
        <w:t>; F5:</w:t>
      </w:r>
      <w:r w:rsidRPr="00492BC8">
        <w:rPr>
          <w:sz w:val="20"/>
          <w:szCs w:val="20"/>
          <w:lang w:val="en-US"/>
        </w:rPr>
        <w:t xml:space="preserve"> 35% of inulin. </w:t>
      </w:r>
    </w:p>
    <w:p w:rsidR="00977249" w:rsidRPr="004565F6" w:rsidRDefault="00977249" w:rsidP="00B924E1">
      <w:pPr>
        <w:spacing w:line="360" w:lineRule="auto"/>
        <w:ind w:firstLine="708"/>
        <w:jc w:val="both"/>
        <w:rPr>
          <w:lang w:val="en-US" w:eastAsia="en-US"/>
        </w:rPr>
      </w:pPr>
      <w:r w:rsidRPr="004565F6">
        <w:rPr>
          <w:lang w:val="en-US" w:eastAsia="en-US"/>
        </w:rPr>
        <w:lastRenderedPageBreak/>
        <w:t>The formulations were prepared individually in Technical Dietetics</w:t>
      </w:r>
      <w:r>
        <w:rPr>
          <w:lang w:val="en-US" w:eastAsia="en-US"/>
        </w:rPr>
        <w:t xml:space="preserve"> </w:t>
      </w:r>
      <w:r w:rsidRPr="004565F6">
        <w:rPr>
          <w:lang w:val="en-US" w:eastAsia="en-US"/>
        </w:rPr>
        <w:t>Laboratory</w:t>
      </w:r>
      <w:r>
        <w:rPr>
          <w:lang w:val="en-US" w:eastAsia="en-US"/>
        </w:rPr>
        <w:t xml:space="preserve"> of</w:t>
      </w:r>
      <w:r w:rsidRPr="004565F6">
        <w:rPr>
          <w:lang w:val="en-US" w:eastAsia="en-US"/>
        </w:rPr>
        <w:t xml:space="preserve"> Nutrition</w:t>
      </w:r>
      <w:r>
        <w:rPr>
          <w:lang w:val="en-US" w:eastAsia="en-US"/>
        </w:rPr>
        <w:t xml:space="preserve"> Department from</w:t>
      </w:r>
      <w:r w:rsidRPr="004565F6">
        <w:rPr>
          <w:lang w:val="en-US" w:eastAsia="en-US"/>
        </w:rPr>
        <w:t xml:space="preserve"> UNICENTRO.</w:t>
      </w:r>
    </w:p>
    <w:p w:rsidR="00977249" w:rsidRDefault="00977249" w:rsidP="00571A63">
      <w:pPr>
        <w:spacing w:line="360" w:lineRule="auto"/>
        <w:ind w:firstLine="708"/>
        <w:jc w:val="both"/>
        <w:rPr>
          <w:lang w:val="en-US" w:eastAsia="en-US"/>
        </w:rPr>
      </w:pPr>
      <w:r w:rsidRPr="004565F6">
        <w:rPr>
          <w:lang w:val="en-US" w:eastAsia="en-US"/>
        </w:rPr>
        <w:t>The weighing of all ingredients was perform</w:t>
      </w:r>
      <w:r>
        <w:rPr>
          <w:lang w:val="en-US" w:eastAsia="en-US"/>
        </w:rPr>
        <w:t>ed on a digital scale (Filizola</w:t>
      </w:r>
      <w:r w:rsidRPr="002A1262">
        <w:rPr>
          <w:vertAlign w:val="superscript"/>
          <w:lang w:val="en-US" w:eastAsia="en-US"/>
        </w:rPr>
        <w:t>®</w:t>
      </w:r>
      <w:r w:rsidR="000A7541">
        <w:rPr>
          <w:lang w:val="en-US" w:eastAsia="en-US"/>
        </w:rPr>
        <w:t>, Bras</w:t>
      </w:r>
      <w:r w:rsidRPr="004565F6">
        <w:rPr>
          <w:lang w:val="en-US" w:eastAsia="en-US"/>
        </w:rPr>
        <w:t>il) with a precision of 0.1 g and a maximum capacity of 15 kg. First, all ingredients were man</w:t>
      </w:r>
      <w:r>
        <w:rPr>
          <w:lang w:val="en-US" w:eastAsia="en-US"/>
        </w:rPr>
        <w:t>ually mixed, kneaded and left</w:t>
      </w:r>
      <w:r w:rsidRPr="004565F6">
        <w:rPr>
          <w:lang w:val="en-US" w:eastAsia="en-US"/>
        </w:rPr>
        <w:t xml:space="preserve"> to rest for fermentation for 30 minutes. Inulin was ad</w:t>
      </w:r>
      <w:r>
        <w:rPr>
          <w:lang w:val="en-US" w:eastAsia="en-US"/>
        </w:rPr>
        <w:t>ded in the amount presented in Chart</w:t>
      </w:r>
      <w:r w:rsidRPr="004565F6">
        <w:rPr>
          <w:lang w:val="en-US" w:eastAsia="en-US"/>
        </w:rPr>
        <w:t xml:space="preserve"> 1. The resulting d</w:t>
      </w:r>
      <w:r>
        <w:rPr>
          <w:lang w:val="en-US" w:eastAsia="en-US"/>
        </w:rPr>
        <w:t>ough was delivered</w:t>
      </w:r>
      <w:r w:rsidRPr="004565F6">
        <w:rPr>
          <w:lang w:val="en-US" w:eastAsia="en-US"/>
        </w:rPr>
        <w:t xml:space="preserve"> in aluminum molds 30 x 12 cm and bake</w:t>
      </w:r>
      <w:r>
        <w:rPr>
          <w:lang w:val="en-US" w:eastAsia="en-US"/>
        </w:rPr>
        <w:t>d in a preheated oven (Brastemp</w:t>
      </w:r>
      <w:r w:rsidRPr="009B5BF1">
        <w:rPr>
          <w:vertAlign w:val="superscript"/>
          <w:lang w:val="en-US" w:eastAsia="en-US"/>
        </w:rPr>
        <w:t>®</w:t>
      </w:r>
      <w:r w:rsidR="000A7541">
        <w:rPr>
          <w:lang w:val="en-US" w:eastAsia="en-US"/>
        </w:rPr>
        <w:t>, Bras</w:t>
      </w:r>
      <w:r>
        <w:rPr>
          <w:lang w:val="en-US" w:eastAsia="en-US"/>
        </w:rPr>
        <w:t>il) at 200 °</w:t>
      </w:r>
      <w:r w:rsidRPr="004565F6">
        <w:rPr>
          <w:lang w:val="en-US" w:eastAsia="en-US"/>
        </w:rPr>
        <w:t>C for 50 minutes.</w:t>
      </w:r>
    </w:p>
    <w:p w:rsidR="00977249" w:rsidRDefault="00977249"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Sensory analysis</w:t>
      </w:r>
    </w:p>
    <w:p w:rsidR="00E04078" w:rsidRPr="004C1E35" w:rsidRDefault="00E04078" w:rsidP="00571A63">
      <w:pPr>
        <w:spacing w:line="360" w:lineRule="auto"/>
        <w:jc w:val="both"/>
        <w:rPr>
          <w:b/>
          <w:bCs/>
          <w:iCs/>
          <w:lang w:val="en-US" w:eastAsia="en-US"/>
        </w:rPr>
      </w:pPr>
    </w:p>
    <w:p w:rsidR="00977249" w:rsidRPr="004565F6" w:rsidRDefault="00977249" w:rsidP="00571A63">
      <w:pPr>
        <w:spacing w:line="360" w:lineRule="auto"/>
        <w:ind w:firstLine="708"/>
        <w:jc w:val="both"/>
        <w:rPr>
          <w:lang w:val="en-US" w:eastAsia="en-US"/>
        </w:rPr>
      </w:pPr>
      <w:r>
        <w:rPr>
          <w:lang w:val="en-US" w:eastAsia="en-US"/>
        </w:rPr>
        <w:t>Participated in this research</w:t>
      </w:r>
      <w:r w:rsidRPr="004565F6">
        <w:rPr>
          <w:lang w:val="en-US" w:eastAsia="en-US"/>
        </w:rPr>
        <w:t xml:space="preserve"> </w:t>
      </w:r>
      <w:r w:rsidRPr="00587F15">
        <w:rPr>
          <w:lang w:val="en-US" w:eastAsia="en-US"/>
        </w:rPr>
        <w:t>50</w:t>
      </w:r>
      <w:r>
        <w:rPr>
          <w:lang w:val="en-US" w:eastAsia="en-US"/>
        </w:rPr>
        <w:t xml:space="preserve"> </w:t>
      </w:r>
      <w:r w:rsidRPr="00587F15">
        <w:rPr>
          <w:lang w:val="en-US" w:eastAsia="en-US"/>
        </w:rPr>
        <w:t>untrained</w:t>
      </w:r>
      <w:r>
        <w:rPr>
          <w:lang w:val="en-US" w:eastAsia="en-US"/>
        </w:rPr>
        <w:t xml:space="preserve"> </w:t>
      </w:r>
      <w:r w:rsidRPr="00587F15">
        <w:rPr>
          <w:lang w:val="en-US" w:eastAsia="en-US"/>
        </w:rPr>
        <w:t xml:space="preserve">children </w:t>
      </w:r>
      <w:r w:rsidRPr="004565F6">
        <w:rPr>
          <w:lang w:val="en-US" w:eastAsia="en-US"/>
        </w:rPr>
        <w:t>being duly enrolled in a Municipal</w:t>
      </w:r>
      <w:r>
        <w:rPr>
          <w:lang w:val="en-US" w:eastAsia="en-US"/>
        </w:rPr>
        <w:t xml:space="preserve"> School in</w:t>
      </w:r>
      <w:r w:rsidRPr="004565F6">
        <w:rPr>
          <w:lang w:val="en-US" w:eastAsia="en-US"/>
        </w:rPr>
        <w:t xml:space="preserve"> Guarapuava, PR, of both genders, aged between 7 and 10 years.</w:t>
      </w:r>
    </w:p>
    <w:p w:rsidR="00977249" w:rsidRPr="004565F6" w:rsidRDefault="00977249" w:rsidP="00571A63">
      <w:pPr>
        <w:spacing w:line="360" w:lineRule="auto"/>
        <w:ind w:firstLine="708"/>
        <w:jc w:val="both"/>
        <w:rPr>
          <w:lang w:val="en-US" w:eastAsia="en-US"/>
        </w:rPr>
      </w:pPr>
      <w:r w:rsidRPr="004565F6">
        <w:rPr>
          <w:lang w:val="en-US" w:eastAsia="en-US"/>
        </w:rPr>
        <w:t>The products were subjected to a se</w:t>
      </w:r>
      <w:r>
        <w:rPr>
          <w:lang w:val="en-US" w:eastAsia="en-US"/>
        </w:rPr>
        <w:t>nsory evaluation, in a specific</w:t>
      </w:r>
      <w:r w:rsidRPr="004565F6">
        <w:rPr>
          <w:lang w:val="en-US" w:eastAsia="en-US"/>
        </w:rPr>
        <w:t xml:space="preserve"> room school, a student being evaluated at a time. Each test was performed in individual booths, type urn, being the </w:t>
      </w:r>
      <w:r>
        <w:rPr>
          <w:lang w:val="en-US" w:eastAsia="en-US"/>
        </w:rPr>
        <w:t>judges</w:t>
      </w:r>
      <w:r w:rsidRPr="004565F6">
        <w:rPr>
          <w:lang w:val="en-US" w:eastAsia="en-US"/>
        </w:rPr>
        <w:t xml:space="preserve"> aided by the researchers to fill the answers.</w:t>
      </w:r>
    </w:p>
    <w:p w:rsidR="00977249" w:rsidRPr="004565F6" w:rsidRDefault="00977249" w:rsidP="00571A63">
      <w:pPr>
        <w:spacing w:line="360" w:lineRule="auto"/>
        <w:ind w:firstLine="708"/>
        <w:jc w:val="both"/>
        <w:rPr>
          <w:lang w:val="en-US" w:eastAsia="en-US"/>
        </w:rPr>
      </w:pPr>
      <w:r w:rsidRPr="004565F6">
        <w:rPr>
          <w:lang w:val="en-US" w:eastAsia="en-US"/>
        </w:rPr>
        <w:t xml:space="preserve">The </w:t>
      </w:r>
      <w:r>
        <w:rPr>
          <w:lang w:val="en-US" w:eastAsia="en-US"/>
        </w:rPr>
        <w:t xml:space="preserve">sensorial </w:t>
      </w:r>
      <w:r w:rsidRPr="004565F6">
        <w:rPr>
          <w:lang w:val="en-US" w:eastAsia="en-US"/>
        </w:rPr>
        <w:t xml:space="preserve">trial evaluated the sensory attributes of appearance, aroma, </w:t>
      </w:r>
      <w:r>
        <w:rPr>
          <w:lang w:val="en-US" w:eastAsia="en-US"/>
        </w:rPr>
        <w:t>taste</w:t>
      </w:r>
      <w:r w:rsidRPr="004565F6">
        <w:rPr>
          <w:lang w:val="en-US" w:eastAsia="en-US"/>
        </w:rPr>
        <w:t>, texture and color through a structured</w:t>
      </w:r>
      <w:r>
        <w:rPr>
          <w:lang w:val="en-US" w:eastAsia="en-US"/>
        </w:rPr>
        <w:t xml:space="preserve"> hedonic facial</w:t>
      </w:r>
      <w:r w:rsidRPr="004565F6">
        <w:rPr>
          <w:lang w:val="en-US" w:eastAsia="en-US"/>
        </w:rPr>
        <w:t xml:space="preserve"> scale of 7 points ran</w:t>
      </w:r>
      <w:r>
        <w:rPr>
          <w:lang w:val="en-US" w:eastAsia="en-US"/>
        </w:rPr>
        <w:t>ging from 1 ("Super Bad") to 7 ("Super</w:t>
      </w:r>
      <w:r w:rsidRPr="004565F6">
        <w:rPr>
          <w:lang w:val="en-US" w:eastAsia="en-US"/>
        </w:rPr>
        <w:t xml:space="preserve"> Good"), adapted from </w:t>
      </w:r>
      <w:r w:rsidRPr="00E93EB9">
        <w:rPr>
          <w:lang w:val="en-US"/>
        </w:rPr>
        <w:t>Kimmel</w:t>
      </w:r>
      <w:r w:rsidR="00A84E63">
        <w:rPr>
          <w:lang w:val="en-US"/>
        </w:rPr>
        <w:t xml:space="preserve"> </w:t>
      </w:r>
      <w:r w:rsidR="00A84E63">
        <w:rPr>
          <w:lang w:val="en-US" w:eastAsia="en-US"/>
        </w:rPr>
        <w:t xml:space="preserve">et al. </w:t>
      </w:r>
      <w:r w:rsidRPr="00B574FA">
        <w:rPr>
          <w:lang w:val="en-US" w:eastAsia="en-US"/>
        </w:rPr>
        <w:t xml:space="preserve">(1994). </w:t>
      </w:r>
      <w:r>
        <w:rPr>
          <w:lang w:val="en-US" w:eastAsia="en-US"/>
        </w:rPr>
        <w:t>Were also applied, global questions</w:t>
      </w:r>
      <w:r w:rsidRPr="004565F6">
        <w:rPr>
          <w:lang w:val="en-US" w:eastAsia="en-US"/>
        </w:rPr>
        <w:t xml:space="preserve"> of acceptance and purchase intent</w:t>
      </w:r>
      <w:r>
        <w:rPr>
          <w:lang w:val="en-US" w:eastAsia="en-US"/>
        </w:rPr>
        <w:t xml:space="preserve">ion through </w:t>
      </w:r>
      <w:r w:rsidRPr="004565F6">
        <w:rPr>
          <w:lang w:val="en-US" w:eastAsia="en-US"/>
        </w:rPr>
        <w:t>a</w:t>
      </w:r>
      <w:r>
        <w:rPr>
          <w:lang w:val="en-US" w:eastAsia="en-US"/>
        </w:rPr>
        <w:t xml:space="preserve"> structured</w:t>
      </w:r>
      <w:r w:rsidRPr="004565F6">
        <w:rPr>
          <w:lang w:val="en-US" w:eastAsia="en-US"/>
        </w:rPr>
        <w:t xml:space="preserve"> hedonic scale of 5 points (1 "dislike</w:t>
      </w:r>
      <w:r>
        <w:rPr>
          <w:lang w:val="en-US" w:eastAsia="en-US"/>
        </w:rPr>
        <w:t>d very much"/</w:t>
      </w:r>
      <w:r w:rsidRPr="004565F6">
        <w:rPr>
          <w:lang w:val="en-US" w:eastAsia="en-US"/>
        </w:rPr>
        <w:t>"</w:t>
      </w:r>
      <w:r>
        <w:rPr>
          <w:lang w:val="en-US" w:eastAsia="en-US"/>
        </w:rPr>
        <w:t xml:space="preserve">would </w:t>
      </w:r>
      <w:r w:rsidRPr="004565F6">
        <w:rPr>
          <w:lang w:val="en-US" w:eastAsia="en-US"/>
        </w:rPr>
        <w:t>not bu</w:t>
      </w:r>
      <w:r>
        <w:rPr>
          <w:lang w:val="en-US" w:eastAsia="en-US"/>
        </w:rPr>
        <w:t>y" to 5 "really liked"/"would</w:t>
      </w:r>
      <w:r w:rsidRPr="004565F6">
        <w:rPr>
          <w:lang w:val="en-US" w:eastAsia="en-US"/>
        </w:rPr>
        <w:t xml:space="preserve"> buy</w:t>
      </w:r>
      <w:r>
        <w:rPr>
          <w:lang w:val="en-US" w:eastAsia="en-US"/>
        </w:rPr>
        <w:t xml:space="preserve"> definitely</w:t>
      </w:r>
      <w:r w:rsidRPr="004565F6">
        <w:rPr>
          <w:lang w:val="en-US" w:eastAsia="en-US"/>
        </w:rPr>
        <w:t>"), as suggested by Minim (2010).</w:t>
      </w:r>
    </w:p>
    <w:p w:rsidR="00977249" w:rsidRDefault="00977249" w:rsidP="00571A63">
      <w:pPr>
        <w:spacing w:line="360" w:lineRule="auto"/>
        <w:ind w:firstLine="708"/>
        <w:jc w:val="both"/>
        <w:rPr>
          <w:lang w:val="en-US" w:eastAsia="en-US"/>
        </w:rPr>
      </w:pPr>
      <w:r w:rsidRPr="004565F6">
        <w:rPr>
          <w:lang w:val="en-US" w:eastAsia="en-US"/>
        </w:rPr>
        <w:t>Each judge received a portion of each sample (approximately 10 g) in disposable</w:t>
      </w:r>
      <w:r>
        <w:rPr>
          <w:lang w:val="en-US" w:eastAsia="en-US"/>
        </w:rPr>
        <w:t xml:space="preserve"> white plastic dishes,</w:t>
      </w:r>
      <w:r w:rsidRPr="004565F6">
        <w:rPr>
          <w:lang w:val="en-US" w:eastAsia="en-US"/>
        </w:rPr>
        <w:t xml:space="preserve"> coded with three digit numbers, in </w:t>
      </w:r>
      <w:r>
        <w:rPr>
          <w:lang w:val="en-US" w:eastAsia="en-US"/>
        </w:rPr>
        <w:t>a randomized, balanced, followed by</w:t>
      </w:r>
      <w:r w:rsidRPr="004565F6">
        <w:rPr>
          <w:lang w:val="en-US" w:eastAsia="en-US"/>
        </w:rPr>
        <w:t xml:space="preserve"> a glass </w:t>
      </w:r>
      <w:r>
        <w:rPr>
          <w:lang w:val="en-US" w:eastAsia="en-US"/>
        </w:rPr>
        <w:t xml:space="preserve">of water for conducting the </w:t>
      </w:r>
      <w:r w:rsidRPr="004565F6">
        <w:rPr>
          <w:lang w:val="en-US" w:eastAsia="en-US"/>
        </w:rPr>
        <w:t>samples. The formul</w:t>
      </w:r>
      <w:r>
        <w:rPr>
          <w:lang w:val="en-US" w:eastAsia="en-US"/>
        </w:rPr>
        <w:t>ations were offered to judges</w:t>
      </w:r>
      <w:r w:rsidRPr="004565F6">
        <w:rPr>
          <w:lang w:val="en-US" w:eastAsia="en-US"/>
        </w:rPr>
        <w:t xml:space="preserve"> in a sequential monadic</w:t>
      </w:r>
      <w:r>
        <w:rPr>
          <w:lang w:val="en-US" w:eastAsia="en-US"/>
        </w:rPr>
        <w:t xml:space="preserve"> way</w:t>
      </w:r>
      <w:r w:rsidRPr="004565F6">
        <w:rPr>
          <w:lang w:val="en-US" w:eastAsia="en-US"/>
        </w:rPr>
        <w:t>.</w:t>
      </w:r>
    </w:p>
    <w:p w:rsidR="00835BAB" w:rsidRDefault="00835BAB"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Acceptability index (AI)</w:t>
      </w:r>
    </w:p>
    <w:p w:rsidR="00E04078" w:rsidRPr="004C1E35" w:rsidRDefault="00E04078" w:rsidP="00571A63">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sidRPr="004565F6">
        <w:rPr>
          <w:lang w:val="en-US" w:eastAsia="en-US"/>
        </w:rPr>
        <w:t>The</w:t>
      </w:r>
      <w:r>
        <w:rPr>
          <w:lang w:val="en-US" w:eastAsia="en-US"/>
        </w:rPr>
        <w:t xml:space="preserve"> index calculation of </w:t>
      </w:r>
      <w:r w:rsidRPr="004565F6">
        <w:rPr>
          <w:lang w:val="en-US" w:eastAsia="en-US"/>
        </w:rPr>
        <w:t xml:space="preserve">acceptability of five formulations was performed according </w:t>
      </w:r>
      <w:r>
        <w:rPr>
          <w:lang w:val="en-US" w:eastAsia="en-US"/>
        </w:rPr>
        <w:t>to Monteiro (1984) based on</w:t>
      </w:r>
      <w:r w:rsidRPr="004565F6">
        <w:rPr>
          <w:lang w:val="en-US" w:eastAsia="en-US"/>
        </w:rPr>
        <w:t xml:space="preserve"> the formula</w:t>
      </w:r>
      <w:r>
        <w:rPr>
          <w:lang w:val="en-US" w:eastAsia="en-US"/>
        </w:rPr>
        <w:t>: AI (%) = 100 x A/B (A: average</w:t>
      </w:r>
      <w:r w:rsidRPr="004565F6">
        <w:rPr>
          <w:lang w:val="en-US" w:eastAsia="en-US"/>
        </w:rPr>
        <w:t xml:space="preserve"> score</w:t>
      </w:r>
      <w:r>
        <w:rPr>
          <w:lang w:val="en-US" w:eastAsia="en-US"/>
        </w:rPr>
        <w:t xml:space="preserve"> obtained for the product, B:</w:t>
      </w:r>
      <w:r w:rsidRPr="004565F6">
        <w:rPr>
          <w:lang w:val="en-US" w:eastAsia="en-US"/>
        </w:rPr>
        <w:t xml:space="preserve"> maximum score given to the product).</w:t>
      </w:r>
    </w:p>
    <w:p w:rsidR="00B676AE" w:rsidRDefault="00B676AE"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Pr="001B2BAC" w:rsidRDefault="009F5853"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lastRenderedPageBreak/>
        <w:t>Physico-chemical analyzes</w:t>
      </w:r>
    </w:p>
    <w:p w:rsidR="00E04078" w:rsidRPr="004C1E35" w:rsidRDefault="00E04078" w:rsidP="00571A63">
      <w:pPr>
        <w:spacing w:line="360" w:lineRule="auto"/>
        <w:jc w:val="both"/>
        <w:rPr>
          <w:b/>
          <w:bCs/>
          <w:iCs/>
          <w:lang w:val="en-US" w:eastAsia="en-US"/>
        </w:rPr>
      </w:pPr>
    </w:p>
    <w:p w:rsidR="00977249" w:rsidRPr="004565F6" w:rsidRDefault="00977249" w:rsidP="00571A63">
      <w:pPr>
        <w:spacing w:line="360" w:lineRule="auto"/>
        <w:ind w:firstLine="708"/>
        <w:jc w:val="both"/>
        <w:rPr>
          <w:lang w:val="en-US" w:eastAsia="en-US"/>
        </w:rPr>
      </w:pPr>
      <w:r>
        <w:rPr>
          <w:lang w:val="en-US" w:eastAsia="en-US"/>
        </w:rPr>
        <w:t>The physico-</w:t>
      </w:r>
      <w:r w:rsidRPr="004565F6">
        <w:rPr>
          <w:lang w:val="en-US" w:eastAsia="en-US"/>
        </w:rPr>
        <w:t>chemical analyzes wer</w:t>
      </w:r>
      <w:r>
        <w:rPr>
          <w:lang w:val="en-US" w:eastAsia="en-US"/>
        </w:rPr>
        <w:t xml:space="preserve">e performed at the </w:t>
      </w:r>
      <w:r w:rsidRPr="004565F6">
        <w:rPr>
          <w:lang w:val="en-US" w:eastAsia="en-US"/>
        </w:rPr>
        <w:t>Food Analysis</w:t>
      </w:r>
      <w:r>
        <w:rPr>
          <w:lang w:val="en-US" w:eastAsia="en-US"/>
        </w:rPr>
        <w:t xml:space="preserve"> Laboratory, Food Engineering Department from UNICENTRO and</w:t>
      </w:r>
      <w:r w:rsidRPr="004565F6">
        <w:rPr>
          <w:lang w:val="en-US" w:eastAsia="en-US"/>
        </w:rPr>
        <w:t xml:space="preserve"> Food Science and Food Composition</w:t>
      </w:r>
      <w:r>
        <w:rPr>
          <w:lang w:val="en-US" w:eastAsia="en-US"/>
        </w:rPr>
        <w:t xml:space="preserve"> Laboratory from </w:t>
      </w:r>
      <w:r w:rsidRPr="00BB719A">
        <w:rPr>
          <w:rStyle w:val="hpsalt-edited"/>
          <w:lang w:val="en-US"/>
        </w:rPr>
        <w:t>Saint Jude Thaddeus</w:t>
      </w:r>
      <w:r w:rsidR="001C2177" w:rsidRPr="001C2177">
        <w:rPr>
          <w:lang w:val="en-US"/>
        </w:rPr>
        <w:t xml:space="preserve"> </w:t>
      </w:r>
      <w:r w:rsidR="001C2177" w:rsidRPr="00BB719A">
        <w:rPr>
          <w:lang w:val="en-US"/>
        </w:rPr>
        <w:t>University</w:t>
      </w:r>
      <w:r w:rsidRPr="004565F6">
        <w:rPr>
          <w:lang w:val="en-US" w:eastAsia="en-US"/>
        </w:rPr>
        <w:t>, São Paulo</w:t>
      </w:r>
      <w:r>
        <w:rPr>
          <w:lang w:val="en-US" w:eastAsia="en-US"/>
        </w:rPr>
        <w:t xml:space="preserve">, </w:t>
      </w:r>
      <w:r w:rsidRPr="004565F6">
        <w:rPr>
          <w:lang w:val="en-US" w:eastAsia="en-US"/>
        </w:rPr>
        <w:t>SP.</w:t>
      </w:r>
    </w:p>
    <w:p w:rsidR="00977249" w:rsidRDefault="00977249" w:rsidP="00571A63">
      <w:pPr>
        <w:spacing w:line="360" w:lineRule="auto"/>
        <w:ind w:firstLine="708"/>
        <w:jc w:val="both"/>
        <w:rPr>
          <w:lang w:val="en-US" w:eastAsia="en-US"/>
        </w:rPr>
      </w:pPr>
      <w:r w:rsidRPr="004565F6">
        <w:rPr>
          <w:lang w:val="en-US" w:eastAsia="en-US"/>
        </w:rPr>
        <w:t>The following determinations physico</w:t>
      </w:r>
      <w:r>
        <w:rPr>
          <w:lang w:val="en-US" w:eastAsia="en-US"/>
        </w:rPr>
        <w:t>-</w:t>
      </w:r>
      <w:r w:rsidRPr="004565F6">
        <w:rPr>
          <w:lang w:val="en-US" w:eastAsia="en-US"/>
        </w:rPr>
        <w:t>chemical was performed in triplicate in</w:t>
      </w:r>
      <w:r>
        <w:rPr>
          <w:lang w:val="en-US" w:eastAsia="en-US"/>
        </w:rPr>
        <w:t xml:space="preserve"> the</w:t>
      </w:r>
      <w:r w:rsidRPr="004565F6">
        <w:rPr>
          <w:lang w:val="en-US" w:eastAsia="en-US"/>
        </w:rPr>
        <w:t xml:space="preserve"> standard biscuit (F1) and</w:t>
      </w:r>
      <w:r>
        <w:rPr>
          <w:lang w:val="en-US" w:eastAsia="en-US"/>
        </w:rPr>
        <w:t xml:space="preserve"> in the</w:t>
      </w:r>
      <w:r w:rsidRPr="004565F6">
        <w:rPr>
          <w:lang w:val="en-US" w:eastAsia="en-US"/>
        </w:rPr>
        <w:t xml:space="preserve"> fo</w:t>
      </w:r>
      <w:r>
        <w:rPr>
          <w:lang w:val="en-US" w:eastAsia="en-US"/>
        </w:rPr>
        <w:t>rmulation with higher</w:t>
      </w:r>
      <w:r w:rsidRPr="004565F6">
        <w:rPr>
          <w:lang w:val="en-US" w:eastAsia="en-US"/>
        </w:rPr>
        <w:t xml:space="preserve"> inulin</w:t>
      </w:r>
      <w:r>
        <w:rPr>
          <w:lang w:val="en-US" w:eastAsia="en-US"/>
        </w:rPr>
        <w:t xml:space="preserve"> content</w:t>
      </w:r>
      <w:r w:rsidRPr="004565F6">
        <w:rPr>
          <w:lang w:val="en-US" w:eastAsia="en-US"/>
        </w:rPr>
        <w:t>, which obtained a similar</w:t>
      </w:r>
      <w:r>
        <w:rPr>
          <w:lang w:val="en-US" w:eastAsia="en-US"/>
        </w:rPr>
        <w:t xml:space="preserve"> sensory acceptance</w:t>
      </w:r>
      <w:r w:rsidRPr="004565F6">
        <w:rPr>
          <w:lang w:val="en-US" w:eastAsia="en-US"/>
        </w:rPr>
        <w:t xml:space="preserve"> </w:t>
      </w:r>
      <w:r>
        <w:rPr>
          <w:lang w:val="en-US" w:eastAsia="en-US"/>
        </w:rPr>
        <w:t>to the standard one.</w:t>
      </w:r>
    </w:p>
    <w:p w:rsidR="00977249" w:rsidRDefault="00977249" w:rsidP="00571A63">
      <w:pPr>
        <w:spacing w:line="360" w:lineRule="auto"/>
        <w:ind w:firstLine="708"/>
        <w:jc w:val="both"/>
        <w:rPr>
          <w:lang w:val="en-US" w:eastAsia="en-US"/>
        </w:rPr>
      </w:pPr>
      <w:r w:rsidRPr="009B5BF1">
        <w:rPr>
          <w:i/>
          <w:iCs/>
          <w:lang w:val="en-US" w:eastAsia="en-US"/>
        </w:rPr>
        <w:t>Moisture</w:t>
      </w:r>
      <w:r w:rsidR="006A44F1">
        <w:rPr>
          <w:lang w:val="en-US" w:eastAsia="en-US"/>
        </w:rPr>
        <w:t>: It was determined at 105 °</w:t>
      </w:r>
      <w:r w:rsidRPr="004565F6">
        <w:rPr>
          <w:lang w:val="en-US" w:eastAsia="en-US"/>
        </w:rPr>
        <w:t>C</w:t>
      </w:r>
      <w:r>
        <w:rPr>
          <w:lang w:val="en-US" w:eastAsia="en-US"/>
        </w:rPr>
        <w:t xml:space="preserve"> in a greenhouse up the</w:t>
      </w:r>
      <w:r w:rsidRPr="004565F6">
        <w:rPr>
          <w:lang w:val="en-US" w:eastAsia="en-US"/>
        </w:rPr>
        <w:t xml:space="preserve"> constant weight, according to AOAC (2011); </w:t>
      </w:r>
      <w:r w:rsidRPr="009B5BF1">
        <w:rPr>
          <w:i/>
          <w:iCs/>
          <w:lang w:val="en-US" w:eastAsia="en-US"/>
        </w:rPr>
        <w:t>Ash</w:t>
      </w:r>
      <w:r>
        <w:rPr>
          <w:lang w:val="en-US" w:eastAsia="en-US"/>
        </w:rPr>
        <w:t>: W</w:t>
      </w:r>
      <w:r w:rsidR="006A44F1">
        <w:rPr>
          <w:lang w:val="en-US" w:eastAsia="en-US"/>
        </w:rPr>
        <w:t>ere analyzed in oven (550 º</w:t>
      </w:r>
      <w:r w:rsidRPr="004565F6">
        <w:rPr>
          <w:lang w:val="en-US" w:eastAsia="en-US"/>
        </w:rPr>
        <w:t>C), ac</w:t>
      </w:r>
      <w:r>
        <w:rPr>
          <w:lang w:val="en-US" w:eastAsia="en-US"/>
        </w:rPr>
        <w:t xml:space="preserve">cording to AOAC (2011); </w:t>
      </w:r>
      <w:r w:rsidRPr="009B5BF1">
        <w:rPr>
          <w:i/>
          <w:iCs/>
          <w:lang w:val="en-US" w:eastAsia="en-US"/>
        </w:rPr>
        <w:t>Total Lipids</w:t>
      </w:r>
      <w:r w:rsidRPr="004565F6">
        <w:rPr>
          <w:lang w:val="en-US" w:eastAsia="en-US"/>
        </w:rPr>
        <w:t>: We</w:t>
      </w:r>
      <w:r>
        <w:rPr>
          <w:lang w:val="en-US" w:eastAsia="en-US"/>
        </w:rPr>
        <w:t>re used the</w:t>
      </w:r>
      <w:r w:rsidRPr="004565F6">
        <w:rPr>
          <w:lang w:val="en-US" w:eastAsia="en-US"/>
        </w:rPr>
        <w:t xml:space="preserve"> cold extraction</w:t>
      </w:r>
      <w:r>
        <w:rPr>
          <w:lang w:val="en-US" w:eastAsia="en-US"/>
        </w:rPr>
        <w:t xml:space="preserve"> method</w:t>
      </w:r>
      <w:r w:rsidRPr="004565F6">
        <w:rPr>
          <w:lang w:val="en-US" w:eastAsia="en-US"/>
        </w:rPr>
        <w:t xml:space="preserve"> (</w:t>
      </w:r>
      <w:r>
        <w:rPr>
          <w:lang w:val="en-US" w:eastAsia="en-US"/>
        </w:rPr>
        <w:t>BLIGH;</w:t>
      </w:r>
      <w:r w:rsidRPr="004565F6">
        <w:rPr>
          <w:lang w:val="en-US" w:eastAsia="en-US"/>
        </w:rPr>
        <w:t xml:space="preserve"> DYER, 1959); </w:t>
      </w:r>
      <w:r w:rsidRPr="009B5BF1">
        <w:rPr>
          <w:i/>
          <w:iCs/>
          <w:lang w:val="en-US" w:eastAsia="en-US"/>
        </w:rPr>
        <w:t>Protein</w:t>
      </w:r>
      <w:r>
        <w:rPr>
          <w:lang w:val="en-US" w:eastAsia="en-US"/>
        </w:rPr>
        <w:t>: W</w:t>
      </w:r>
      <w:r w:rsidRPr="004565F6">
        <w:rPr>
          <w:lang w:val="en-US" w:eastAsia="en-US"/>
        </w:rPr>
        <w:t>ere evalua</w:t>
      </w:r>
      <w:r>
        <w:rPr>
          <w:lang w:val="en-US" w:eastAsia="en-US"/>
        </w:rPr>
        <w:t>ted by total nitrogen content from</w:t>
      </w:r>
      <w:r w:rsidRPr="004565F6">
        <w:rPr>
          <w:lang w:val="en-US" w:eastAsia="en-US"/>
        </w:rPr>
        <w:t xml:space="preserve"> the sample b</w:t>
      </w:r>
      <w:r>
        <w:rPr>
          <w:lang w:val="en-US" w:eastAsia="en-US"/>
        </w:rPr>
        <w:t>y the Kjeldahl method, established</w:t>
      </w:r>
      <w:r w:rsidRPr="004565F6">
        <w:rPr>
          <w:lang w:val="en-US" w:eastAsia="en-US"/>
        </w:rPr>
        <w:t xml:space="preserve"> semimicro</w:t>
      </w:r>
      <w:r>
        <w:rPr>
          <w:lang w:val="en-US" w:eastAsia="en-US"/>
        </w:rPr>
        <w:t xml:space="preserve"> level</w:t>
      </w:r>
      <w:r w:rsidRPr="004565F6">
        <w:rPr>
          <w:lang w:val="en-US" w:eastAsia="en-US"/>
        </w:rPr>
        <w:t xml:space="preserve"> (AOAC, 2011). We used the nitrogen conver</w:t>
      </w:r>
      <w:r>
        <w:rPr>
          <w:lang w:val="en-US" w:eastAsia="en-US"/>
        </w:rPr>
        <w:t xml:space="preserve">sion factor of 6.25 for protein; </w:t>
      </w:r>
      <w:r w:rsidRPr="009B5BF1">
        <w:rPr>
          <w:i/>
          <w:iCs/>
          <w:lang w:val="en-US" w:eastAsia="en-US"/>
        </w:rPr>
        <w:t>Crude Fiber</w:t>
      </w:r>
      <w:r>
        <w:rPr>
          <w:lang w:val="en-US" w:eastAsia="en-US"/>
        </w:rPr>
        <w:t>:</w:t>
      </w:r>
      <w:r w:rsidRPr="004565F6">
        <w:rPr>
          <w:lang w:val="en-US" w:eastAsia="en-US"/>
        </w:rPr>
        <w:t xml:space="preserve"> </w:t>
      </w:r>
      <w:r>
        <w:rPr>
          <w:lang w:val="en-US" w:eastAsia="en-US"/>
        </w:rPr>
        <w:t>Was used</w:t>
      </w:r>
      <w:r w:rsidRPr="004565F6">
        <w:rPr>
          <w:lang w:val="en-US" w:eastAsia="en-US"/>
        </w:rPr>
        <w:t xml:space="preserve"> the</w:t>
      </w:r>
      <w:r>
        <w:rPr>
          <w:lang w:val="en-US" w:eastAsia="en-US"/>
        </w:rPr>
        <w:t xml:space="preserve"> hot extraction method</w:t>
      </w:r>
      <w:r w:rsidRPr="004565F6">
        <w:rPr>
          <w:lang w:val="en-US" w:eastAsia="en-US"/>
        </w:rPr>
        <w:t xml:space="preserve"> </w:t>
      </w:r>
      <w:r w:rsidRPr="003B5110">
        <w:rPr>
          <w:color w:val="000000"/>
          <w:lang w:val="en-US"/>
        </w:rPr>
        <w:t>H</w:t>
      </w:r>
      <w:r w:rsidRPr="003B5110">
        <w:rPr>
          <w:color w:val="000000"/>
          <w:vertAlign w:val="subscript"/>
          <w:lang w:val="en-US"/>
        </w:rPr>
        <w:t>2</w:t>
      </w:r>
      <w:r w:rsidRPr="003B5110">
        <w:rPr>
          <w:color w:val="000000"/>
          <w:lang w:val="en-US"/>
        </w:rPr>
        <w:t>SO</w:t>
      </w:r>
      <w:r w:rsidRPr="003B5110">
        <w:rPr>
          <w:color w:val="000000"/>
          <w:vertAlign w:val="subscript"/>
          <w:lang w:val="en-US"/>
        </w:rPr>
        <w:t>4</w:t>
      </w:r>
      <w:r w:rsidRPr="004565F6">
        <w:rPr>
          <w:lang w:val="en-US" w:eastAsia="en-US"/>
        </w:rPr>
        <w:t xml:space="preserve"> (1</w:t>
      </w:r>
      <w:r>
        <w:rPr>
          <w:lang w:val="en-US" w:eastAsia="en-US"/>
        </w:rPr>
        <w:t>.25% w/v) and NaOH (1.25% w/</w:t>
      </w:r>
      <w:r w:rsidRPr="004565F6">
        <w:rPr>
          <w:lang w:val="en-US" w:eastAsia="en-US"/>
        </w:rPr>
        <w:t xml:space="preserve">v) AOAC (2011) </w:t>
      </w:r>
      <w:r w:rsidRPr="009B5BF1">
        <w:rPr>
          <w:i/>
          <w:iCs/>
          <w:lang w:val="en-US" w:eastAsia="en-US"/>
        </w:rPr>
        <w:t>Carbohydrate</w:t>
      </w:r>
      <w:r w:rsidRPr="00D82AAF">
        <w:rPr>
          <w:lang w:val="en-US" w:eastAsia="en-US"/>
        </w:rPr>
        <w:t>: The carbohydrates determination (including crude fiber) of the products was performed by theoretical calculation (by difference) in the triplicate results  according to the formula:</w:t>
      </w:r>
      <w:r>
        <w:rPr>
          <w:lang w:val="en-US" w:eastAsia="en-US"/>
        </w:rPr>
        <w:t xml:space="preserve"> </w:t>
      </w:r>
      <w:r w:rsidRPr="00D82AAF">
        <w:rPr>
          <w:lang w:val="en-US" w:eastAsia="en-US"/>
        </w:rPr>
        <w:t xml:space="preserve">% Carbohydrates = 100 - (% </w:t>
      </w:r>
      <w:r w:rsidRPr="00754C00">
        <w:rPr>
          <w:lang w:val="en-US" w:eastAsia="en-US"/>
        </w:rPr>
        <w:t>moisture</w:t>
      </w:r>
      <w:r>
        <w:rPr>
          <w:lang w:val="en-US" w:eastAsia="en-US"/>
        </w:rPr>
        <w:t xml:space="preserve"> </w:t>
      </w:r>
      <w:r w:rsidR="00835BAB">
        <w:rPr>
          <w:lang w:val="en-US" w:eastAsia="en-US"/>
        </w:rPr>
        <w:t>+% protein +</w:t>
      </w:r>
      <w:r w:rsidRPr="00D82AAF">
        <w:rPr>
          <w:lang w:val="en-US" w:eastAsia="en-US"/>
        </w:rPr>
        <w:t xml:space="preserve"> % fat + </w:t>
      </w:r>
      <w:r w:rsidR="00835BAB">
        <w:rPr>
          <w:lang w:val="en-US" w:eastAsia="en-US"/>
        </w:rPr>
        <w:t xml:space="preserve">% </w:t>
      </w:r>
      <w:r w:rsidRPr="00D82AAF">
        <w:rPr>
          <w:lang w:val="en-US" w:eastAsia="en-US"/>
        </w:rPr>
        <w:t xml:space="preserve">ash); </w:t>
      </w:r>
      <w:r w:rsidRPr="009B5BF1">
        <w:rPr>
          <w:i/>
          <w:iCs/>
          <w:lang w:val="en-US" w:eastAsia="en-US"/>
        </w:rPr>
        <w:t>Calories</w:t>
      </w:r>
      <w:r w:rsidRPr="00D82AAF">
        <w:rPr>
          <w:lang w:val="en-US" w:eastAsia="en-US"/>
        </w:rPr>
        <w:t xml:space="preserve">: Total </w:t>
      </w:r>
      <w:r>
        <w:rPr>
          <w:lang w:val="en-US" w:eastAsia="en-US"/>
        </w:rPr>
        <w:t>c</w:t>
      </w:r>
      <w:r w:rsidRPr="00D82AAF">
        <w:rPr>
          <w:lang w:val="en-US" w:eastAsia="en-US"/>
        </w:rPr>
        <w:t>alor</w:t>
      </w:r>
      <w:r>
        <w:rPr>
          <w:lang w:val="en-US" w:eastAsia="en-US"/>
        </w:rPr>
        <w:t>ies (kcal) was calculated for 5</w:t>
      </w:r>
      <w:r w:rsidRPr="00D82AAF">
        <w:rPr>
          <w:lang w:val="en-US" w:eastAsia="en-US"/>
        </w:rPr>
        <w:t>0 g of sample, using the nex</w:t>
      </w:r>
      <w:r>
        <w:rPr>
          <w:lang w:val="en-US" w:eastAsia="en-US"/>
        </w:rPr>
        <w:t>t numbers: lipids (8.37 k</w:t>
      </w:r>
      <w:r w:rsidRPr="00D82AAF">
        <w:rPr>
          <w:lang w:val="en-US" w:eastAsia="en-US"/>
        </w:rPr>
        <w:t>cal/</w:t>
      </w:r>
      <w:r>
        <w:rPr>
          <w:lang w:val="en-US" w:eastAsia="en-US"/>
        </w:rPr>
        <w:t>g), proteins (3.87 k</w:t>
      </w:r>
      <w:r w:rsidRPr="00D82AAF">
        <w:rPr>
          <w:lang w:val="en-US" w:eastAsia="en-US"/>
        </w:rPr>
        <w:t xml:space="preserve">cal/g), and carbohydrates (4.11 </w:t>
      </w:r>
      <w:r>
        <w:rPr>
          <w:lang w:val="en-US" w:eastAsia="en-US"/>
        </w:rPr>
        <w:t>k</w:t>
      </w:r>
      <w:r w:rsidRPr="00D82AAF">
        <w:rPr>
          <w:lang w:val="en-US" w:eastAsia="en-US"/>
        </w:rPr>
        <w:t>cal</w:t>
      </w:r>
      <w:r w:rsidR="00EB5B9D">
        <w:rPr>
          <w:lang w:val="en-US" w:eastAsia="en-US"/>
        </w:rPr>
        <w:t>/</w:t>
      </w:r>
      <w:r w:rsidRPr="00D82AAF">
        <w:rPr>
          <w:lang w:val="en-US" w:eastAsia="en-US"/>
        </w:rPr>
        <w:t>g) (MERRILL; WATT, 1973)</w:t>
      </w:r>
      <w:r w:rsidR="00EB5B9D">
        <w:rPr>
          <w:lang w:val="en-US" w:eastAsia="en-US"/>
        </w:rPr>
        <w:t>, and to inulin:</w:t>
      </w:r>
      <w:r w:rsidR="00EB5B9D" w:rsidRPr="00D82AAF">
        <w:rPr>
          <w:lang w:val="en-US" w:eastAsia="en-US"/>
        </w:rPr>
        <w:t xml:space="preserve"> </w:t>
      </w:r>
      <w:r w:rsidR="00EB5B9D">
        <w:rPr>
          <w:lang w:val="en-US" w:eastAsia="en-US"/>
        </w:rPr>
        <w:t>1,5 kcal/g</w:t>
      </w:r>
      <w:r w:rsidR="00EB5B9D" w:rsidRPr="00EB5B9D">
        <w:rPr>
          <w:lang w:val="en-US" w:eastAsia="en-US"/>
        </w:rPr>
        <w:t xml:space="preserve"> </w:t>
      </w:r>
      <w:r w:rsidR="00EB5B9D">
        <w:rPr>
          <w:lang w:val="en-US" w:eastAsia="en-US"/>
        </w:rPr>
        <w:t>(</w:t>
      </w:r>
      <w:r w:rsidR="00EB5B9D" w:rsidRPr="00D82AAF">
        <w:rPr>
          <w:lang w:val="en-US" w:eastAsia="en-US"/>
        </w:rPr>
        <w:t>carbohydrates</w:t>
      </w:r>
      <w:r w:rsidR="00EB5B9D">
        <w:rPr>
          <w:lang w:val="en-US" w:eastAsia="en-US"/>
        </w:rPr>
        <w:t>)</w:t>
      </w:r>
      <w:r w:rsidR="00EB5B9D" w:rsidRPr="00EB5B9D">
        <w:rPr>
          <w:lang w:val="en-US" w:eastAsia="en-US"/>
        </w:rPr>
        <w:t xml:space="preserve"> </w:t>
      </w:r>
      <w:r w:rsidR="00EB5B9D" w:rsidRPr="004565F6">
        <w:rPr>
          <w:lang w:val="en-US" w:eastAsia="en-US"/>
        </w:rPr>
        <w:t>(</w:t>
      </w:r>
      <w:r w:rsidR="00EB5B9D">
        <w:rPr>
          <w:lang w:val="en-US" w:eastAsia="en-US"/>
        </w:rPr>
        <w:t>BENEO</w:t>
      </w:r>
      <w:r w:rsidR="00EB5B9D" w:rsidRPr="00B17F05">
        <w:rPr>
          <w:vertAlign w:val="superscript"/>
          <w:lang w:val="en-US" w:eastAsia="en-US"/>
        </w:rPr>
        <w:t>®</w:t>
      </w:r>
      <w:r w:rsidR="00EB5B9D" w:rsidRPr="004565F6">
        <w:rPr>
          <w:lang w:val="en-US" w:eastAsia="en-US"/>
        </w:rPr>
        <w:t xml:space="preserve"> HP, 2012)</w:t>
      </w:r>
      <w:r w:rsidRPr="00D82AAF">
        <w:rPr>
          <w:lang w:val="en-US" w:eastAsia="en-US"/>
        </w:rPr>
        <w:t>.</w:t>
      </w:r>
    </w:p>
    <w:p w:rsidR="00977249" w:rsidRDefault="00977249"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Determination of the Reference Daily Value (DV)</w:t>
      </w:r>
    </w:p>
    <w:p w:rsidR="00E04078" w:rsidRPr="004C1E35" w:rsidRDefault="00E04078" w:rsidP="00571A63">
      <w:pPr>
        <w:spacing w:line="360" w:lineRule="auto"/>
        <w:jc w:val="both"/>
        <w:rPr>
          <w:iCs/>
          <w:lang w:val="en-US" w:eastAsia="en-US"/>
        </w:rPr>
      </w:pPr>
    </w:p>
    <w:p w:rsidR="00977249" w:rsidRDefault="00977249" w:rsidP="00571A63">
      <w:pPr>
        <w:spacing w:line="360" w:lineRule="auto"/>
        <w:ind w:firstLine="708"/>
        <w:jc w:val="both"/>
        <w:rPr>
          <w:lang w:val="en-US" w:eastAsia="en-US"/>
        </w:rPr>
      </w:pPr>
      <w:r w:rsidRPr="004565F6">
        <w:rPr>
          <w:lang w:val="en-US" w:eastAsia="en-US"/>
        </w:rPr>
        <w:t>F</w:t>
      </w:r>
      <w:r>
        <w:rPr>
          <w:lang w:val="en-US" w:eastAsia="en-US"/>
        </w:rPr>
        <w:t>or the calculation of D</w:t>
      </w:r>
      <w:r w:rsidRPr="004565F6">
        <w:rPr>
          <w:lang w:val="en-US" w:eastAsia="en-US"/>
        </w:rPr>
        <w:t>V was performed an average of the</w:t>
      </w:r>
      <w:r>
        <w:rPr>
          <w:lang w:val="en-US" w:eastAsia="en-US"/>
        </w:rPr>
        <w:t xml:space="preserve"> </w:t>
      </w:r>
      <w:r w:rsidRPr="004565F6">
        <w:rPr>
          <w:lang w:val="en-US" w:eastAsia="en-US"/>
        </w:rPr>
        <w:t>recommended</w:t>
      </w:r>
      <w:r>
        <w:rPr>
          <w:lang w:val="en-US" w:eastAsia="en-US"/>
        </w:rPr>
        <w:t xml:space="preserve"> </w:t>
      </w:r>
      <w:r w:rsidRPr="004565F6">
        <w:rPr>
          <w:lang w:val="en-US" w:eastAsia="en-US"/>
        </w:rPr>
        <w:t>values ​​</w:t>
      </w:r>
      <w:r>
        <w:rPr>
          <w:lang w:val="en-US" w:eastAsia="en-US"/>
        </w:rPr>
        <w:t xml:space="preserve"> by </w:t>
      </w:r>
      <w:r w:rsidRPr="004565F6">
        <w:rPr>
          <w:lang w:val="en-US" w:eastAsia="en-US"/>
        </w:rPr>
        <w:t>Dietary</w:t>
      </w:r>
      <w:r>
        <w:rPr>
          <w:lang w:val="en-US" w:eastAsia="en-US"/>
        </w:rPr>
        <w:t xml:space="preserve"> Reference Intakes (2005), for children</w:t>
      </w:r>
      <w:r w:rsidRPr="004565F6">
        <w:rPr>
          <w:lang w:val="en-US" w:eastAsia="en-US"/>
        </w:rPr>
        <w:t xml:space="preserve"> (7-10 years). The nutrie</w:t>
      </w:r>
      <w:r>
        <w:rPr>
          <w:lang w:val="en-US" w:eastAsia="en-US"/>
        </w:rPr>
        <w:t>nts were assessed by the</w:t>
      </w:r>
      <w:r w:rsidRPr="004565F6">
        <w:rPr>
          <w:lang w:val="en-US" w:eastAsia="en-US"/>
        </w:rPr>
        <w:t xml:space="preserve"> average</w:t>
      </w:r>
      <w:r>
        <w:rPr>
          <w:lang w:val="en-US" w:eastAsia="en-US"/>
        </w:rPr>
        <w:t xml:space="preserve"> calculations from</w:t>
      </w:r>
      <w:r w:rsidRPr="004565F6">
        <w:rPr>
          <w:lang w:val="en-US" w:eastAsia="en-US"/>
        </w:rPr>
        <w:t xml:space="preserve"> </w:t>
      </w:r>
      <w:r>
        <w:rPr>
          <w:lang w:val="en-US" w:eastAsia="en-US"/>
        </w:rPr>
        <w:t>judges, resulting in: 1802.55 kcal/</w:t>
      </w:r>
      <w:r w:rsidRPr="004565F6">
        <w:rPr>
          <w:lang w:val="en-US" w:eastAsia="en-US"/>
        </w:rPr>
        <w:t>day, 258.89 g carbohydrates, 62.92 g protein and 65.91 g lipid.</w:t>
      </w:r>
    </w:p>
    <w:p w:rsidR="00835BAB" w:rsidRDefault="00835BAB" w:rsidP="00571A63">
      <w:pPr>
        <w:spacing w:line="360" w:lineRule="auto"/>
        <w:ind w:firstLine="708"/>
        <w:jc w:val="both"/>
        <w:rPr>
          <w:lang w:val="en-US" w:eastAsia="en-US"/>
        </w:rPr>
      </w:pPr>
    </w:p>
    <w:p w:rsidR="00977249" w:rsidRDefault="00977249" w:rsidP="00571A63">
      <w:pPr>
        <w:spacing w:line="360" w:lineRule="auto"/>
        <w:jc w:val="both"/>
        <w:rPr>
          <w:b/>
          <w:bCs/>
          <w:iCs/>
          <w:lang w:val="en-US" w:eastAsia="en-US"/>
        </w:rPr>
      </w:pPr>
      <w:r w:rsidRPr="004C1E35">
        <w:rPr>
          <w:b/>
          <w:bCs/>
          <w:iCs/>
          <w:lang w:val="en-US" w:eastAsia="en-US"/>
        </w:rPr>
        <w:t>Ethical issues</w:t>
      </w:r>
    </w:p>
    <w:p w:rsidR="00E04078" w:rsidRPr="004C1E35" w:rsidRDefault="00E04078" w:rsidP="00571A63">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sidRPr="004565F6">
        <w:rPr>
          <w:lang w:val="en-US" w:eastAsia="en-US"/>
        </w:rPr>
        <w:t>This study was approved by the Ethics</w:t>
      </w:r>
      <w:r>
        <w:rPr>
          <w:lang w:val="en-US" w:eastAsia="en-US"/>
        </w:rPr>
        <w:t xml:space="preserve"> Committee in </w:t>
      </w:r>
      <w:r w:rsidRPr="004565F6">
        <w:rPr>
          <w:lang w:val="en-US" w:eastAsia="en-US"/>
        </w:rPr>
        <w:t>Research</w:t>
      </w:r>
      <w:r>
        <w:rPr>
          <w:lang w:val="en-US" w:eastAsia="en-US"/>
        </w:rPr>
        <w:t xml:space="preserve"> at UNICENTRO, opinion</w:t>
      </w:r>
      <w:r w:rsidR="006A44F1">
        <w:rPr>
          <w:lang w:val="en-US" w:eastAsia="en-US"/>
        </w:rPr>
        <w:t xml:space="preserve"> number n</w:t>
      </w:r>
      <w:r w:rsidR="00C554B7">
        <w:rPr>
          <w:lang w:val="en-US" w:eastAsia="en-US"/>
        </w:rPr>
        <w:t>º</w:t>
      </w:r>
      <w:r w:rsidRPr="004565F6">
        <w:rPr>
          <w:lang w:val="en-US" w:eastAsia="en-US"/>
        </w:rPr>
        <w:t>. 49549/2012. However,</w:t>
      </w:r>
      <w:r>
        <w:rPr>
          <w:lang w:val="en-US" w:eastAsia="en-US"/>
        </w:rPr>
        <w:t xml:space="preserve"> as</w:t>
      </w:r>
      <w:r w:rsidRPr="004565F6">
        <w:rPr>
          <w:lang w:val="en-US" w:eastAsia="en-US"/>
        </w:rPr>
        <w:t xml:space="preserve"> exclusion criteria were considered the following factors: having allergy to any ingre</w:t>
      </w:r>
      <w:r>
        <w:rPr>
          <w:lang w:val="en-US" w:eastAsia="en-US"/>
        </w:rPr>
        <w:t xml:space="preserve">dient used in </w:t>
      </w:r>
      <w:r w:rsidRPr="004565F6">
        <w:rPr>
          <w:lang w:val="en-US" w:eastAsia="en-US"/>
        </w:rPr>
        <w:t>breads</w:t>
      </w:r>
      <w:r>
        <w:rPr>
          <w:lang w:val="en-US" w:eastAsia="en-US"/>
        </w:rPr>
        <w:t xml:space="preserve"> preparation</w:t>
      </w:r>
      <w:r w:rsidRPr="004565F6">
        <w:rPr>
          <w:lang w:val="en-US" w:eastAsia="en-US"/>
        </w:rPr>
        <w:t>, not being</w:t>
      </w:r>
      <w:r>
        <w:rPr>
          <w:lang w:val="en-US" w:eastAsia="en-US"/>
        </w:rPr>
        <w:t xml:space="preserve"> from the same school of the research</w:t>
      </w:r>
      <w:r w:rsidRPr="004565F6">
        <w:rPr>
          <w:lang w:val="en-US" w:eastAsia="en-US"/>
        </w:rPr>
        <w:t xml:space="preserve"> </w:t>
      </w:r>
      <w:r>
        <w:rPr>
          <w:lang w:val="en-US" w:eastAsia="en-US"/>
        </w:rPr>
        <w:t xml:space="preserve">and not deliver the </w:t>
      </w:r>
      <w:r w:rsidRPr="00BA4303">
        <w:rPr>
          <w:lang w:val="en-US" w:eastAsia="en-US"/>
        </w:rPr>
        <w:t xml:space="preserve">Informed Consent Form Document </w:t>
      </w:r>
      <w:r>
        <w:rPr>
          <w:lang w:val="en-US" w:eastAsia="en-US"/>
        </w:rPr>
        <w:t xml:space="preserve">(ICFD) </w:t>
      </w:r>
      <w:r w:rsidRPr="004565F6">
        <w:rPr>
          <w:lang w:val="en-US" w:eastAsia="en-US"/>
        </w:rPr>
        <w:t>signed by the legal guardian.</w:t>
      </w:r>
    </w:p>
    <w:p w:rsidR="00977249" w:rsidRDefault="00977249" w:rsidP="00571A63">
      <w:pPr>
        <w:spacing w:line="360" w:lineRule="auto"/>
        <w:jc w:val="both"/>
        <w:rPr>
          <w:b/>
          <w:bCs/>
          <w:iCs/>
          <w:lang w:val="en-US" w:eastAsia="en-US"/>
        </w:rPr>
      </w:pPr>
      <w:r w:rsidRPr="004C1E35">
        <w:rPr>
          <w:b/>
          <w:bCs/>
          <w:iCs/>
          <w:lang w:val="en-US" w:eastAsia="en-US"/>
        </w:rPr>
        <w:lastRenderedPageBreak/>
        <w:t>Statistical analysis</w:t>
      </w:r>
    </w:p>
    <w:p w:rsidR="00E04078" w:rsidRPr="004C1E35" w:rsidRDefault="00E04078" w:rsidP="00571A63">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Pr>
          <w:lang w:val="en-US" w:eastAsia="en-US"/>
        </w:rPr>
        <w:t>D</w:t>
      </w:r>
      <w:r w:rsidRPr="004565F6">
        <w:rPr>
          <w:lang w:val="en-US" w:eastAsia="en-US"/>
        </w:rPr>
        <w:t>ata were analyzed using the</w:t>
      </w:r>
      <w:r>
        <w:rPr>
          <w:lang w:val="en-US" w:eastAsia="en-US"/>
        </w:rPr>
        <w:t xml:space="preserve"> Statgraphics Plus</w:t>
      </w:r>
      <w:r w:rsidRPr="000A1C23">
        <w:rPr>
          <w:vertAlign w:val="superscript"/>
          <w:lang w:val="en-US" w:eastAsia="en-US"/>
        </w:rPr>
        <w:t>®</w:t>
      </w:r>
      <w:r w:rsidRPr="004565F6">
        <w:rPr>
          <w:lang w:val="en-US" w:eastAsia="en-US"/>
        </w:rPr>
        <w:t xml:space="preserve"> software version 5.1, through</w:t>
      </w:r>
      <w:r>
        <w:rPr>
          <w:lang w:val="en-US" w:eastAsia="en-US"/>
        </w:rPr>
        <w:t xml:space="preserve"> variance analysis (ANOVA), knowing that average</w:t>
      </w:r>
      <w:r w:rsidRPr="004565F6">
        <w:rPr>
          <w:lang w:val="en-US" w:eastAsia="en-US"/>
        </w:rPr>
        <w:t xml:space="preserve"> comparison</w:t>
      </w:r>
      <w:r>
        <w:rPr>
          <w:lang w:val="en-US" w:eastAsia="en-US"/>
        </w:rPr>
        <w:t xml:space="preserve"> was performed by the</w:t>
      </w:r>
      <w:r w:rsidRPr="00B17723">
        <w:rPr>
          <w:lang w:val="en-US" w:eastAsia="en-US"/>
        </w:rPr>
        <w:t xml:space="preserve"> </w:t>
      </w:r>
      <w:r w:rsidRPr="004565F6">
        <w:rPr>
          <w:lang w:val="en-US" w:eastAsia="en-US"/>
        </w:rPr>
        <w:t>Tukey</w:t>
      </w:r>
      <w:r>
        <w:rPr>
          <w:lang w:val="en-US" w:eastAsia="en-US"/>
        </w:rPr>
        <w:t xml:space="preserve"> average</w:t>
      </w:r>
      <w:r w:rsidRPr="004565F6">
        <w:rPr>
          <w:lang w:val="en-US" w:eastAsia="en-US"/>
        </w:rPr>
        <w:t xml:space="preserve"> test </w:t>
      </w:r>
      <w:r>
        <w:rPr>
          <w:lang w:val="en-US" w:eastAsia="en-US"/>
        </w:rPr>
        <w:t xml:space="preserve">and t </w:t>
      </w:r>
      <w:r w:rsidRPr="00E43EAE">
        <w:rPr>
          <w:lang w:val="en-US" w:eastAsia="en-US"/>
        </w:rPr>
        <w:t>of student,</w:t>
      </w:r>
      <w:r w:rsidRPr="004565F6">
        <w:rPr>
          <w:lang w:val="en-US" w:eastAsia="en-US"/>
        </w:rPr>
        <w:t xml:space="preserve"> both with 5% </w:t>
      </w:r>
      <w:r>
        <w:rPr>
          <w:lang w:val="en-US" w:eastAsia="en-US"/>
        </w:rPr>
        <w:t>significance level</w:t>
      </w:r>
      <w:r w:rsidRPr="004565F6">
        <w:rPr>
          <w:lang w:val="en-US" w:eastAsia="en-US"/>
        </w:rPr>
        <w:t>.</w:t>
      </w:r>
    </w:p>
    <w:p w:rsidR="00977249" w:rsidRPr="004565F6" w:rsidRDefault="00977249" w:rsidP="00B924E1">
      <w:pPr>
        <w:spacing w:line="360" w:lineRule="auto"/>
        <w:ind w:firstLine="708"/>
        <w:jc w:val="both"/>
        <w:rPr>
          <w:lang w:val="en-US" w:eastAsia="en-US"/>
        </w:rPr>
      </w:pPr>
    </w:p>
    <w:p w:rsidR="00977249" w:rsidRDefault="004C1E35" w:rsidP="00B924E1">
      <w:pPr>
        <w:spacing w:line="360" w:lineRule="auto"/>
        <w:jc w:val="both"/>
        <w:rPr>
          <w:b/>
          <w:bCs/>
          <w:lang w:val="en-US" w:eastAsia="en-US"/>
        </w:rPr>
      </w:pPr>
      <w:r w:rsidRPr="000362CE">
        <w:rPr>
          <w:b/>
          <w:bCs/>
          <w:lang w:val="en-US" w:eastAsia="en-US"/>
        </w:rPr>
        <w:t>RESULTS AND DISCUSSION</w:t>
      </w:r>
    </w:p>
    <w:p w:rsidR="00977249" w:rsidRPr="000362CE" w:rsidRDefault="00977249" w:rsidP="00B924E1">
      <w:pPr>
        <w:spacing w:line="360" w:lineRule="auto"/>
        <w:jc w:val="both"/>
        <w:rPr>
          <w:b/>
          <w:bCs/>
          <w:lang w:val="en-US" w:eastAsia="en-US"/>
        </w:rPr>
      </w:pPr>
    </w:p>
    <w:p w:rsidR="00977249" w:rsidRDefault="00977249" w:rsidP="00B924E1">
      <w:pPr>
        <w:spacing w:line="360" w:lineRule="auto"/>
        <w:jc w:val="both"/>
        <w:rPr>
          <w:b/>
          <w:bCs/>
          <w:iCs/>
          <w:lang w:val="en-US" w:eastAsia="en-US"/>
        </w:rPr>
      </w:pPr>
      <w:r w:rsidRPr="004C1E35">
        <w:rPr>
          <w:b/>
          <w:bCs/>
          <w:iCs/>
          <w:lang w:val="en-US" w:eastAsia="en-US"/>
        </w:rPr>
        <w:t>Sensorial analysis</w:t>
      </w:r>
    </w:p>
    <w:p w:rsidR="00E04078" w:rsidRPr="004C1E35" w:rsidRDefault="00E04078" w:rsidP="00B924E1">
      <w:pPr>
        <w:spacing w:line="360" w:lineRule="auto"/>
        <w:jc w:val="both"/>
        <w:rPr>
          <w:b/>
          <w:bCs/>
          <w:iCs/>
          <w:lang w:val="en-US" w:eastAsia="en-US"/>
        </w:rPr>
      </w:pPr>
    </w:p>
    <w:p w:rsidR="00977249" w:rsidRDefault="00977249" w:rsidP="00B924E1">
      <w:pPr>
        <w:spacing w:line="360" w:lineRule="auto"/>
        <w:ind w:firstLine="708"/>
        <w:jc w:val="both"/>
        <w:rPr>
          <w:lang w:val="en-US" w:eastAsia="en-US"/>
        </w:rPr>
      </w:pPr>
      <w:r>
        <w:rPr>
          <w:lang w:val="en-US" w:eastAsia="en-US"/>
        </w:rPr>
        <w:t>Chart</w:t>
      </w:r>
      <w:r w:rsidRPr="000362CE">
        <w:rPr>
          <w:lang w:val="en-US" w:eastAsia="en-US"/>
        </w:rPr>
        <w:t xml:space="preserve"> 2</w:t>
      </w:r>
      <w:r>
        <w:rPr>
          <w:lang w:val="en-US" w:eastAsia="en-US"/>
        </w:rPr>
        <w:t xml:space="preserve"> presents sensory acceptance in flavored breads</w:t>
      </w:r>
      <w:r w:rsidRPr="004565F6">
        <w:rPr>
          <w:lang w:val="en-US" w:eastAsia="en-US"/>
        </w:rPr>
        <w:t xml:space="preserve"> </w:t>
      </w:r>
      <w:r>
        <w:rPr>
          <w:lang w:val="en-US" w:eastAsia="en-US"/>
        </w:rPr>
        <w:t xml:space="preserve">standard </w:t>
      </w:r>
      <w:r w:rsidRPr="004565F6">
        <w:rPr>
          <w:lang w:val="en-US" w:eastAsia="en-US"/>
        </w:rPr>
        <w:t>and added</w:t>
      </w:r>
      <w:r>
        <w:rPr>
          <w:lang w:val="en-US" w:eastAsia="en-US"/>
        </w:rPr>
        <w:t xml:space="preserve"> with</w:t>
      </w:r>
      <w:r w:rsidRPr="004565F6">
        <w:rPr>
          <w:lang w:val="en-US" w:eastAsia="en-US"/>
        </w:rPr>
        <w:t xml:space="preserve"> inulin.</w:t>
      </w:r>
    </w:p>
    <w:p w:rsidR="000940B2" w:rsidRDefault="000940B2" w:rsidP="00B924E1">
      <w:pPr>
        <w:spacing w:line="360" w:lineRule="auto"/>
        <w:ind w:firstLine="708"/>
        <w:jc w:val="both"/>
        <w:rPr>
          <w:lang w:val="en-US" w:eastAsia="en-US"/>
        </w:rPr>
      </w:pPr>
    </w:p>
    <w:p w:rsidR="000940B2" w:rsidRDefault="000940B2" w:rsidP="00B924E1">
      <w:pPr>
        <w:spacing w:line="360" w:lineRule="auto"/>
        <w:jc w:val="both"/>
        <w:rPr>
          <w:lang w:val="en-US" w:eastAsia="en-US"/>
        </w:rPr>
      </w:pPr>
      <w:r>
        <w:rPr>
          <w:b/>
          <w:lang w:val="en-US" w:eastAsia="en-US"/>
        </w:rPr>
        <w:t>Chart 2.</w:t>
      </w:r>
      <w:r>
        <w:rPr>
          <w:lang w:val="en-US" w:eastAsia="en-US"/>
        </w:rPr>
        <w:t xml:space="preserve"> Averages from sensory test and purchase intent performed for </w:t>
      </w:r>
      <w:r w:rsidRPr="00453FE5">
        <w:rPr>
          <w:lang w:val="en-US" w:eastAsia="en-US"/>
        </w:rPr>
        <w:t xml:space="preserve">flavored pineapple bread formulations </w:t>
      </w:r>
      <w:r>
        <w:rPr>
          <w:lang w:val="en-US" w:eastAsia="en-US"/>
        </w:rPr>
        <w:t>standard and enriched with 20, 25, 30 and 35% inulin</w:t>
      </w:r>
    </w:p>
    <w:p w:rsidR="009F5853" w:rsidRDefault="009F5853" w:rsidP="00B924E1">
      <w:pPr>
        <w:spacing w:line="360" w:lineRule="auto"/>
        <w:jc w:val="both"/>
        <w:rPr>
          <w:lang w:val="en-US" w:eastAsia="en-US"/>
        </w:rPr>
      </w:pPr>
    </w:p>
    <w:tbl>
      <w:tblPr>
        <w:tblW w:w="9747" w:type="dxa"/>
        <w:tblLook w:val="01E0"/>
      </w:tblPr>
      <w:tblGrid>
        <w:gridCol w:w="2376"/>
        <w:gridCol w:w="1525"/>
        <w:gridCol w:w="1418"/>
        <w:gridCol w:w="1559"/>
        <w:gridCol w:w="1452"/>
        <w:gridCol w:w="1417"/>
      </w:tblGrid>
      <w:tr w:rsidR="000940B2" w:rsidRPr="00A31F3C" w:rsidTr="004F1002">
        <w:trPr>
          <w:trHeight w:val="895"/>
        </w:trPr>
        <w:tc>
          <w:tcPr>
            <w:tcW w:w="2376" w:type="dxa"/>
            <w:tcBorders>
              <w:top w:val="single" w:sz="4" w:space="0" w:color="auto"/>
              <w:bottom w:val="single" w:sz="4" w:space="0" w:color="auto"/>
            </w:tcBorders>
          </w:tcPr>
          <w:p w:rsidR="000940B2" w:rsidRPr="00393EAA" w:rsidRDefault="000940B2" w:rsidP="00B924E1">
            <w:pPr>
              <w:spacing w:line="360" w:lineRule="auto"/>
              <w:rPr>
                <w:b/>
                <w:bCs/>
                <w:color w:val="000000"/>
              </w:rPr>
            </w:pPr>
            <w:r w:rsidRPr="00CB414B">
              <w:rPr>
                <w:b/>
                <w:bCs/>
                <w:color w:val="000000"/>
              </w:rPr>
              <w:t>Formulations</w:t>
            </w:r>
            <w:r>
              <w:rPr>
                <w:b/>
                <w:bCs/>
                <w:color w:val="000000"/>
              </w:rPr>
              <w:t>/</w:t>
            </w:r>
            <w:r w:rsidRPr="00393EAA">
              <w:rPr>
                <w:b/>
                <w:bCs/>
                <w:color w:val="000000"/>
                <w:sz w:val="22"/>
                <w:szCs w:val="22"/>
              </w:rPr>
              <w:t xml:space="preserve"> At</w:t>
            </w:r>
            <w:r>
              <w:rPr>
                <w:b/>
                <w:bCs/>
                <w:color w:val="000000"/>
                <w:sz w:val="22"/>
                <w:szCs w:val="22"/>
              </w:rPr>
              <w:t>tributes</w:t>
            </w:r>
          </w:p>
        </w:tc>
        <w:tc>
          <w:tcPr>
            <w:tcW w:w="1525" w:type="dxa"/>
            <w:tcBorders>
              <w:top w:val="single" w:sz="4" w:space="0" w:color="auto"/>
              <w:bottom w:val="single" w:sz="4" w:space="0" w:color="auto"/>
            </w:tcBorders>
          </w:tcPr>
          <w:p w:rsidR="000940B2" w:rsidRPr="00E408B2" w:rsidRDefault="000940B2" w:rsidP="00B924E1">
            <w:pPr>
              <w:spacing w:line="360" w:lineRule="auto"/>
              <w:ind w:left="-96" w:right="-129"/>
              <w:jc w:val="center"/>
              <w:rPr>
                <w:b/>
                <w:bCs/>
              </w:rPr>
            </w:pPr>
            <w:r w:rsidRPr="00E408B2">
              <w:rPr>
                <w:b/>
                <w:bCs/>
                <w:color w:val="000000"/>
                <w:sz w:val="22"/>
                <w:szCs w:val="22"/>
              </w:rPr>
              <w:t>F1</w:t>
            </w:r>
          </w:p>
          <w:p w:rsidR="000940B2" w:rsidRPr="00E408B2" w:rsidRDefault="000940B2" w:rsidP="00B924E1">
            <w:pPr>
              <w:spacing w:line="360" w:lineRule="auto"/>
              <w:ind w:left="-96" w:right="-129"/>
              <w:jc w:val="center"/>
              <w:rPr>
                <w:b/>
                <w:bCs/>
              </w:rPr>
            </w:pPr>
            <w:r w:rsidRPr="00E408B2">
              <w:rPr>
                <w:sz w:val="22"/>
                <w:szCs w:val="22"/>
                <w:lang w:val="en-US"/>
              </w:rPr>
              <w:t>Mean±SD</w:t>
            </w:r>
          </w:p>
        </w:tc>
        <w:tc>
          <w:tcPr>
            <w:tcW w:w="1418" w:type="dxa"/>
            <w:tcBorders>
              <w:top w:val="single" w:sz="4" w:space="0" w:color="auto"/>
              <w:bottom w:val="single" w:sz="4" w:space="0" w:color="auto"/>
            </w:tcBorders>
          </w:tcPr>
          <w:p w:rsidR="000940B2" w:rsidRPr="00E408B2" w:rsidRDefault="000940B2" w:rsidP="00B924E1">
            <w:pPr>
              <w:spacing w:line="360" w:lineRule="auto"/>
              <w:jc w:val="center"/>
              <w:rPr>
                <w:b/>
                <w:bCs/>
              </w:rPr>
            </w:pPr>
            <w:r w:rsidRPr="00E408B2">
              <w:rPr>
                <w:b/>
                <w:bCs/>
                <w:color w:val="000000"/>
                <w:sz w:val="22"/>
                <w:szCs w:val="22"/>
              </w:rPr>
              <w:t>F2</w:t>
            </w:r>
          </w:p>
          <w:p w:rsidR="000940B2" w:rsidRPr="00E408B2" w:rsidRDefault="000940B2" w:rsidP="00B924E1">
            <w:pPr>
              <w:spacing w:line="360" w:lineRule="auto"/>
              <w:jc w:val="center"/>
              <w:rPr>
                <w:b/>
                <w:bCs/>
              </w:rPr>
            </w:pPr>
            <w:r w:rsidRPr="00E408B2">
              <w:rPr>
                <w:sz w:val="22"/>
                <w:szCs w:val="22"/>
                <w:lang w:val="en-US"/>
              </w:rPr>
              <w:t>Mean±SD</w:t>
            </w:r>
          </w:p>
        </w:tc>
        <w:tc>
          <w:tcPr>
            <w:tcW w:w="1559" w:type="dxa"/>
            <w:tcBorders>
              <w:top w:val="single" w:sz="4" w:space="0" w:color="auto"/>
              <w:bottom w:val="single" w:sz="4" w:space="0" w:color="auto"/>
            </w:tcBorders>
          </w:tcPr>
          <w:p w:rsidR="000940B2" w:rsidRPr="00E408B2" w:rsidRDefault="000940B2" w:rsidP="00B924E1">
            <w:pPr>
              <w:spacing w:line="360" w:lineRule="auto"/>
              <w:jc w:val="center"/>
              <w:rPr>
                <w:b/>
                <w:bCs/>
              </w:rPr>
            </w:pPr>
            <w:r w:rsidRPr="00E408B2">
              <w:rPr>
                <w:b/>
                <w:bCs/>
                <w:color w:val="000000"/>
                <w:sz w:val="22"/>
                <w:szCs w:val="22"/>
              </w:rPr>
              <w:t>F3</w:t>
            </w:r>
          </w:p>
          <w:p w:rsidR="000940B2" w:rsidRPr="00E408B2" w:rsidRDefault="000940B2" w:rsidP="00B924E1">
            <w:pPr>
              <w:spacing w:line="360" w:lineRule="auto"/>
              <w:jc w:val="center"/>
              <w:rPr>
                <w:b/>
                <w:bCs/>
              </w:rPr>
            </w:pPr>
            <w:r w:rsidRPr="00E408B2">
              <w:rPr>
                <w:sz w:val="22"/>
                <w:szCs w:val="22"/>
                <w:lang w:val="en-US"/>
              </w:rPr>
              <w:t>Mean±SD</w:t>
            </w:r>
          </w:p>
        </w:tc>
        <w:tc>
          <w:tcPr>
            <w:tcW w:w="1452" w:type="dxa"/>
            <w:tcBorders>
              <w:top w:val="single" w:sz="4" w:space="0" w:color="auto"/>
              <w:bottom w:val="single" w:sz="4" w:space="0" w:color="auto"/>
            </w:tcBorders>
          </w:tcPr>
          <w:p w:rsidR="000940B2" w:rsidRPr="00E408B2" w:rsidRDefault="000940B2" w:rsidP="00B924E1">
            <w:pPr>
              <w:spacing w:line="360" w:lineRule="auto"/>
              <w:ind w:left="-155" w:right="-105"/>
              <w:jc w:val="center"/>
              <w:rPr>
                <w:b/>
                <w:bCs/>
                <w:color w:val="000000"/>
              </w:rPr>
            </w:pPr>
            <w:r w:rsidRPr="00E408B2">
              <w:rPr>
                <w:b/>
                <w:bCs/>
                <w:color w:val="000000"/>
                <w:sz w:val="22"/>
                <w:szCs w:val="22"/>
              </w:rPr>
              <w:t>F4</w:t>
            </w:r>
          </w:p>
          <w:p w:rsidR="000940B2" w:rsidRPr="00E408B2" w:rsidRDefault="000940B2" w:rsidP="00B924E1">
            <w:pPr>
              <w:spacing w:line="360" w:lineRule="auto"/>
              <w:ind w:left="-155" w:right="-105"/>
              <w:jc w:val="center"/>
              <w:rPr>
                <w:b/>
                <w:bCs/>
              </w:rPr>
            </w:pPr>
            <w:r w:rsidRPr="00E408B2">
              <w:rPr>
                <w:sz w:val="22"/>
                <w:szCs w:val="22"/>
                <w:lang w:val="en-US"/>
              </w:rPr>
              <w:t>Mean±SD</w:t>
            </w:r>
          </w:p>
        </w:tc>
        <w:tc>
          <w:tcPr>
            <w:tcW w:w="1417" w:type="dxa"/>
            <w:tcBorders>
              <w:top w:val="single" w:sz="4" w:space="0" w:color="auto"/>
              <w:bottom w:val="single" w:sz="4" w:space="0" w:color="auto"/>
            </w:tcBorders>
          </w:tcPr>
          <w:p w:rsidR="000940B2" w:rsidRPr="00E408B2" w:rsidRDefault="000940B2" w:rsidP="00B924E1">
            <w:pPr>
              <w:spacing w:line="360" w:lineRule="auto"/>
              <w:jc w:val="center"/>
              <w:rPr>
                <w:b/>
                <w:bCs/>
                <w:color w:val="000000"/>
              </w:rPr>
            </w:pPr>
            <w:r w:rsidRPr="00E408B2">
              <w:rPr>
                <w:b/>
                <w:bCs/>
                <w:color w:val="000000"/>
                <w:sz w:val="22"/>
                <w:szCs w:val="22"/>
              </w:rPr>
              <w:t>F5</w:t>
            </w:r>
          </w:p>
          <w:p w:rsidR="000940B2" w:rsidRPr="00E408B2" w:rsidRDefault="000940B2" w:rsidP="00B924E1">
            <w:pPr>
              <w:spacing w:line="360" w:lineRule="auto"/>
              <w:jc w:val="center"/>
              <w:rPr>
                <w:b/>
                <w:bCs/>
              </w:rPr>
            </w:pPr>
            <w:r w:rsidRPr="00E408B2">
              <w:rPr>
                <w:sz w:val="22"/>
                <w:szCs w:val="22"/>
                <w:lang w:val="en-US"/>
              </w:rPr>
              <w:t>Mean±SD</w:t>
            </w:r>
          </w:p>
        </w:tc>
      </w:tr>
      <w:tr w:rsidR="000940B2" w:rsidRPr="009621E7" w:rsidTr="004F1002">
        <w:tc>
          <w:tcPr>
            <w:tcW w:w="2376" w:type="dxa"/>
            <w:tcBorders>
              <w:top w:val="single" w:sz="4" w:space="0" w:color="auto"/>
            </w:tcBorders>
          </w:tcPr>
          <w:p w:rsidR="000940B2" w:rsidRPr="00393EAA" w:rsidRDefault="000940B2" w:rsidP="00B924E1">
            <w:pPr>
              <w:spacing w:line="360" w:lineRule="auto"/>
              <w:rPr>
                <w:color w:val="000000"/>
              </w:rPr>
            </w:pPr>
            <w:r w:rsidRPr="00393EAA">
              <w:rPr>
                <w:color w:val="000000"/>
                <w:sz w:val="22"/>
                <w:szCs w:val="22"/>
              </w:rPr>
              <w:t>Ap</w:t>
            </w:r>
            <w:r>
              <w:rPr>
                <w:color w:val="000000"/>
                <w:sz w:val="22"/>
                <w:szCs w:val="22"/>
              </w:rPr>
              <w:t>pearance</w:t>
            </w:r>
          </w:p>
        </w:tc>
        <w:tc>
          <w:tcPr>
            <w:tcW w:w="1525" w:type="dxa"/>
            <w:tcBorders>
              <w:top w:val="single" w:sz="4" w:space="0" w:color="auto"/>
            </w:tcBorders>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6,33±1,03</w:t>
            </w:r>
            <w:r w:rsidRPr="00393EAA">
              <w:rPr>
                <w:color w:val="000000"/>
                <w:sz w:val="22"/>
                <w:szCs w:val="22"/>
                <w:vertAlign w:val="superscript"/>
              </w:rPr>
              <w:t>a</w:t>
            </w:r>
          </w:p>
        </w:tc>
        <w:tc>
          <w:tcPr>
            <w:tcW w:w="1418" w:type="dxa"/>
            <w:tcBorders>
              <w:top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6,23±0,91</w:t>
            </w:r>
            <w:r w:rsidRPr="00393EAA">
              <w:rPr>
                <w:color w:val="000000"/>
                <w:sz w:val="22"/>
                <w:szCs w:val="22"/>
                <w:vertAlign w:val="superscript"/>
              </w:rPr>
              <w:t>a</w:t>
            </w:r>
          </w:p>
        </w:tc>
        <w:tc>
          <w:tcPr>
            <w:tcW w:w="1559" w:type="dxa"/>
            <w:tcBorders>
              <w:top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6,27±0,89</w:t>
            </w:r>
            <w:r w:rsidRPr="00393EAA">
              <w:rPr>
                <w:color w:val="000000"/>
                <w:sz w:val="22"/>
                <w:szCs w:val="22"/>
                <w:vertAlign w:val="superscript"/>
              </w:rPr>
              <w:t>a</w:t>
            </w:r>
          </w:p>
        </w:tc>
        <w:tc>
          <w:tcPr>
            <w:tcW w:w="1452" w:type="dxa"/>
            <w:tcBorders>
              <w:top w:val="single" w:sz="4" w:space="0" w:color="auto"/>
            </w:tcBorders>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 xml:space="preserve"> 6,20±0,87</w:t>
            </w:r>
            <w:r w:rsidRPr="00393EAA">
              <w:rPr>
                <w:color w:val="000000"/>
                <w:sz w:val="22"/>
                <w:szCs w:val="22"/>
                <w:vertAlign w:val="superscript"/>
              </w:rPr>
              <w:t>a</w:t>
            </w:r>
          </w:p>
        </w:tc>
        <w:tc>
          <w:tcPr>
            <w:tcW w:w="1417" w:type="dxa"/>
            <w:tcBorders>
              <w:top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5,64±1,28</w:t>
            </w:r>
            <w:r w:rsidRPr="00393EAA">
              <w:rPr>
                <w:color w:val="000000"/>
                <w:sz w:val="22"/>
                <w:szCs w:val="22"/>
                <w:vertAlign w:val="superscript"/>
              </w:rPr>
              <w:t>b</w:t>
            </w:r>
          </w:p>
        </w:tc>
      </w:tr>
      <w:tr w:rsidR="000940B2" w:rsidRPr="009621E7" w:rsidTr="004F1002">
        <w:tc>
          <w:tcPr>
            <w:tcW w:w="2376" w:type="dxa"/>
          </w:tcPr>
          <w:p w:rsidR="000940B2" w:rsidRPr="00393EAA" w:rsidRDefault="000940B2" w:rsidP="00B924E1">
            <w:pPr>
              <w:spacing w:line="360" w:lineRule="auto"/>
              <w:rPr>
                <w:color w:val="000000"/>
              </w:rPr>
            </w:pPr>
            <w:r w:rsidRPr="00393EAA">
              <w:rPr>
                <w:color w:val="000000"/>
                <w:sz w:val="22"/>
                <w:szCs w:val="22"/>
              </w:rPr>
              <w:t>Aroma</w:t>
            </w:r>
          </w:p>
        </w:tc>
        <w:tc>
          <w:tcPr>
            <w:tcW w:w="1525" w:type="dxa"/>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6,32±1,07</w:t>
            </w:r>
            <w:r w:rsidRPr="00393EAA">
              <w:rPr>
                <w:color w:val="000000"/>
                <w:sz w:val="22"/>
                <w:szCs w:val="22"/>
                <w:vertAlign w:val="superscript"/>
              </w:rPr>
              <w:t>a</w:t>
            </w:r>
          </w:p>
        </w:tc>
        <w:tc>
          <w:tcPr>
            <w:tcW w:w="1418" w:type="dxa"/>
          </w:tcPr>
          <w:p w:rsidR="000940B2" w:rsidRPr="00393EAA" w:rsidRDefault="000940B2" w:rsidP="00B924E1">
            <w:pPr>
              <w:spacing w:line="360" w:lineRule="auto"/>
              <w:jc w:val="center"/>
              <w:rPr>
                <w:color w:val="000000"/>
                <w:vertAlign w:val="superscript"/>
              </w:rPr>
            </w:pPr>
            <w:r w:rsidRPr="00393EAA">
              <w:rPr>
                <w:color w:val="000000"/>
                <w:sz w:val="22"/>
                <w:szCs w:val="22"/>
              </w:rPr>
              <w:t>6,18±1,02</w:t>
            </w:r>
            <w:r w:rsidRPr="00393EAA">
              <w:rPr>
                <w:color w:val="000000"/>
                <w:sz w:val="22"/>
                <w:szCs w:val="22"/>
                <w:vertAlign w:val="superscript"/>
              </w:rPr>
              <w:t>a</w:t>
            </w:r>
          </w:p>
        </w:tc>
        <w:tc>
          <w:tcPr>
            <w:tcW w:w="1559"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6,01±1,11</w:t>
            </w:r>
            <w:r w:rsidRPr="00393EAA">
              <w:rPr>
                <w:color w:val="000000"/>
                <w:sz w:val="22"/>
                <w:szCs w:val="22"/>
                <w:vertAlign w:val="superscript"/>
              </w:rPr>
              <w:t>a</w:t>
            </w:r>
          </w:p>
        </w:tc>
        <w:tc>
          <w:tcPr>
            <w:tcW w:w="1452" w:type="dxa"/>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 xml:space="preserve"> 6,11±1,</w:t>
            </w:r>
            <w:r w:rsidR="00570D40">
              <w:rPr>
                <w:color w:val="000000"/>
                <w:sz w:val="22"/>
                <w:szCs w:val="22"/>
              </w:rPr>
              <w:t>23</w:t>
            </w:r>
            <w:r w:rsidRPr="00393EAA">
              <w:rPr>
                <w:color w:val="000000"/>
                <w:sz w:val="22"/>
                <w:szCs w:val="22"/>
                <w:vertAlign w:val="superscript"/>
              </w:rPr>
              <w:t>a</w:t>
            </w:r>
          </w:p>
        </w:tc>
        <w:tc>
          <w:tcPr>
            <w:tcW w:w="1417"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6,20±1,09</w:t>
            </w:r>
            <w:r w:rsidRPr="00393EAA">
              <w:rPr>
                <w:color w:val="000000"/>
                <w:sz w:val="22"/>
                <w:szCs w:val="22"/>
                <w:vertAlign w:val="superscript"/>
              </w:rPr>
              <w:t>a</w:t>
            </w:r>
          </w:p>
        </w:tc>
      </w:tr>
      <w:tr w:rsidR="000940B2" w:rsidRPr="009621E7" w:rsidTr="004F1002">
        <w:tc>
          <w:tcPr>
            <w:tcW w:w="2376" w:type="dxa"/>
          </w:tcPr>
          <w:p w:rsidR="000940B2" w:rsidRPr="00393EAA" w:rsidRDefault="000940B2" w:rsidP="00B924E1">
            <w:pPr>
              <w:spacing w:line="360" w:lineRule="auto"/>
              <w:rPr>
                <w:color w:val="000000"/>
              </w:rPr>
            </w:pPr>
            <w:r>
              <w:rPr>
                <w:color w:val="000000"/>
                <w:sz w:val="22"/>
                <w:szCs w:val="22"/>
              </w:rPr>
              <w:t>Taste</w:t>
            </w:r>
          </w:p>
        </w:tc>
        <w:tc>
          <w:tcPr>
            <w:tcW w:w="1525" w:type="dxa"/>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6,58±0,77</w:t>
            </w:r>
            <w:r w:rsidRPr="00393EAA">
              <w:rPr>
                <w:color w:val="000000"/>
                <w:sz w:val="22"/>
                <w:szCs w:val="22"/>
                <w:vertAlign w:val="superscript"/>
              </w:rPr>
              <w:t>a</w:t>
            </w:r>
          </w:p>
        </w:tc>
        <w:tc>
          <w:tcPr>
            <w:tcW w:w="1418" w:type="dxa"/>
          </w:tcPr>
          <w:p w:rsidR="000940B2" w:rsidRPr="00393EAA" w:rsidRDefault="000940B2" w:rsidP="00B924E1">
            <w:pPr>
              <w:spacing w:line="360" w:lineRule="auto"/>
              <w:jc w:val="center"/>
              <w:rPr>
                <w:color w:val="000000"/>
                <w:vertAlign w:val="superscript"/>
              </w:rPr>
            </w:pPr>
            <w:r w:rsidRPr="00393EAA">
              <w:rPr>
                <w:color w:val="000000"/>
                <w:sz w:val="22"/>
                <w:szCs w:val="22"/>
              </w:rPr>
              <w:t>6,29±0,83</w:t>
            </w:r>
            <w:r w:rsidRPr="00393EAA">
              <w:rPr>
                <w:color w:val="000000"/>
                <w:sz w:val="22"/>
                <w:szCs w:val="22"/>
                <w:vertAlign w:val="superscript"/>
              </w:rPr>
              <w:t>ab</w:t>
            </w:r>
          </w:p>
        </w:tc>
        <w:tc>
          <w:tcPr>
            <w:tcW w:w="1559"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6,29±0,99</w:t>
            </w:r>
            <w:r w:rsidRPr="00393EAA">
              <w:rPr>
                <w:color w:val="000000"/>
                <w:sz w:val="22"/>
                <w:szCs w:val="22"/>
                <w:vertAlign w:val="superscript"/>
              </w:rPr>
              <w:t>ab</w:t>
            </w:r>
          </w:p>
        </w:tc>
        <w:tc>
          <w:tcPr>
            <w:tcW w:w="1452" w:type="dxa"/>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 xml:space="preserve"> 6,17±1,04</w:t>
            </w:r>
            <w:r w:rsidRPr="00393EAA">
              <w:rPr>
                <w:color w:val="000000"/>
                <w:sz w:val="22"/>
                <w:szCs w:val="22"/>
                <w:vertAlign w:val="superscript"/>
              </w:rPr>
              <w:t>ab</w:t>
            </w:r>
          </w:p>
        </w:tc>
        <w:tc>
          <w:tcPr>
            <w:tcW w:w="1417"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6,00±1,36</w:t>
            </w:r>
            <w:r w:rsidRPr="00393EAA">
              <w:rPr>
                <w:color w:val="000000"/>
                <w:sz w:val="22"/>
                <w:szCs w:val="22"/>
                <w:vertAlign w:val="superscript"/>
              </w:rPr>
              <w:t>b</w:t>
            </w:r>
          </w:p>
        </w:tc>
      </w:tr>
      <w:tr w:rsidR="000940B2" w:rsidRPr="009621E7" w:rsidTr="004F1002">
        <w:tc>
          <w:tcPr>
            <w:tcW w:w="2376" w:type="dxa"/>
          </w:tcPr>
          <w:p w:rsidR="000940B2" w:rsidRPr="00393EAA" w:rsidRDefault="000940B2" w:rsidP="00B924E1">
            <w:pPr>
              <w:spacing w:line="360" w:lineRule="auto"/>
              <w:rPr>
                <w:color w:val="000000"/>
              </w:rPr>
            </w:pPr>
            <w:r w:rsidRPr="00393EAA">
              <w:rPr>
                <w:color w:val="000000"/>
                <w:sz w:val="22"/>
                <w:szCs w:val="22"/>
              </w:rPr>
              <w:t>Textur</w:t>
            </w:r>
            <w:r>
              <w:rPr>
                <w:color w:val="000000"/>
                <w:sz w:val="22"/>
                <w:szCs w:val="22"/>
              </w:rPr>
              <w:t>e</w:t>
            </w:r>
          </w:p>
        </w:tc>
        <w:tc>
          <w:tcPr>
            <w:tcW w:w="1525" w:type="dxa"/>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6,29±0,94</w:t>
            </w:r>
            <w:r w:rsidRPr="00393EAA">
              <w:rPr>
                <w:color w:val="000000"/>
                <w:sz w:val="22"/>
                <w:szCs w:val="22"/>
                <w:vertAlign w:val="superscript"/>
              </w:rPr>
              <w:t>a</w:t>
            </w:r>
          </w:p>
        </w:tc>
        <w:tc>
          <w:tcPr>
            <w:tcW w:w="1418" w:type="dxa"/>
          </w:tcPr>
          <w:p w:rsidR="000940B2" w:rsidRPr="00393EAA" w:rsidRDefault="000940B2" w:rsidP="00B924E1">
            <w:pPr>
              <w:spacing w:line="360" w:lineRule="auto"/>
              <w:jc w:val="center"/>
              <w:rPr>
                <w:color w:val="000000"/>
                <w:vertAlign w:val="superscript"/>
              </w:rPr>
            </w:pPr>
            <w:r w:rsidRPr="00393EAA">
              <w:rPr>
                <w:color w:val="000000"/>
                <w:sz w:val="22"/>
                <w:szCs w:val="22"/>
              </w:rPr>
              <w:t>6,14±1,05</w:t>
            </w:r>
            <w:r w:rsidRPr="00393EAA">
              <w:rPr>
                <w:color w:val="000000"/>
                <w:sz w:val="22"/>
                <w:szCs w:val="22"/>
                <w:vertAlign w:val="superscript"/>
              </w:rPr>
              <w:t>a</w:t>
            </w:r>
          </w:p>
        </w:tc>
        <w:tc>
          <w:tcPr>
            <w:tcW w:w="1559" w:type="dxa"/>
          </w:tcPr>
          <w:p w:rsidR="000940B2" w:rsidRPr="00393EAA" w:rsidRDefault="000940B2" w:rsidP="00B924E1">
            <w:pPr>
              <w:spacing w:line="360" w:lineRule="auto"/>
              <w:jc w:val="center"/>
              <w:rPr>
                <w:color w:val="000000"/>
                <w:vertAlign w:val="superscript"/>
              </w:rPr>
            </w:pPr>
            <w:r w:rsidRPr="00393EAA">
              <w:rPr>
                <w:color w:val="000000"/>
                <w:sz w:val="22"/>
                <w:szCs w:val="22"/>
              </w:rPr>
              <w:t>6,20±1,09</w:t>
            </w:r>
            <w:r w:rsidRPr="00393EAA">
              <w:rPr>
                <w:color w:val="000000"/>
                <w:sz w:val="22"/>
                <w:szCs w:val="22"/>
                <w:vertAlign w:val="superscript"/>
              </w:rPr>
              <w:t>a</w:t>
            </w:r>
          </w:p>
        </w:tc>
        <w:tc>
          <w:tcPr>
            <w:tcW w:w="1452" w:type="dxa"/>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6,00±1,11</w:t>
            </w:r>
            <w:r w:rsidRPr="00393EAA">
              <w:rPr>
                <w:color w:val="000000"/>
                <w:sz w:val="22"/>
                <w:szCs w:val="22"/>
                <w:vertAlign w:val="superscript"/>
              </w:rPr>
              <w:t>a</w:t>
            </w:r>
          </w:p>
        </w:tc>
        <w:tc>
          <w:tcPr>
            <w:tcW w:w="1417"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5,85±1,18</w:t>
            </w:r>
            <w:r w:rsidRPr="00393EAA">
              <w:rPr>
                <w:color w:val="000000"/>
                <w:sz w:val="22"/>
                <w:szCs w:val="22"/>
                <w:vertAlign w:val="superscript"/>
              </w:rPr>
              <w:t>a</w:t>
            </w:r>
          </w:p>
        </w:tc>
      </w:tr>
      <w:tr w:rsidR="000940B2" w:rsidRPr="009621E7" w:rsidTr="004F1002">
        <w:tc>
          <w:tcPr>
            <w:tcW w:w="2376" w:type="dxa"/>
          </w:tcPr>
          <w:p w:rsidR="000940B2" w:rsidRPr="00393EAA" w:rsidRDefault="000940B2" w:rsidP="00B924E1">
            <w:pPr>
              <w:spacing w:line="360" w:lineRule="auto"/>
              <w:rPr>
                <w:color w:val="000000"/>
              </w:rPr>
            </w:pPr>
            <w:r w:rsidRPr="00393EAA">
              <w:rPr>
                <w:color w:val="000000"/>
                <w:sz w:val="22"/>
                <w:szCs w:val="22"/>
              </w:rPr>
              <w:t>Co</w:t>
            </w:r>
            <w:r>
              <w:rPr>
                <w:color w:val="000000"/>
                <w:sz w:val="22"/>
                <w:szCs w:val="22"/>
              </w:rPr>
              <w:t>lor</w:t>
            </w:r>
          </w:p>
        </w:tc>
        <w:tc>
          <w:tcPr>
            <w:tcW w:w="1525" w:type="dxa"/>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6,28±1,06</w:t>
            </w:r>
            <w:r w:rsidRPr="00393EAA">
              <w:rPr>
                <w:color w:val="000000"/>
                <w:sz w:val="22"/>
                <w:szCs w:val="22"/>
                <w:vertAlign w:val="superscript"/>
              </w:rPr>
              <w:t>a</w:t>
            </w:r>
          </w:p>
        </w:tc>
        <w:tc>
          <w:tcPr>
            <w:tcW w:w="1418" w:type="dxa"/>
          </w:tcPr>
          <w:p w:rsidR="000940B2" w:rsidRPr="00393EAA" w:rsidRDefault="000940B2" w:rsidP="00B924E1">
            <w:pPr>
              <w:spacing w:line="360" w:lineRule="auto"/>
              <w:jc w:val="center"/>
              <w:rPr>
                <w:color w:val="000000"/>
                <w:vertAlign w:val="superscript"/>
              </w:rPr>
            </w:pPr>
            <w:r w:rsidRPr="00393EAA">
              <w:rPr>
                <w:color w:val="000000"/>
                <w:sz w:val="22"/>
                <w:szCs w:val="22"/>
              </w:rPr>
              <w:t>6,25±0,88</w:t>
            </w:r>
            <w:r w:rsidRPr="00393EAA">
              <w:rPr>
                <w:color w:val="000000"/>
                <w:sz w:val="22"/>
                <w:szCs w:val="22"/>
                <w:vertAlign w:val="superscript"/>
              </w:rPr>
              <w:t>a</w:t>
            </w:r>
          </w:p>
        </w:tc>
        <w:tc>
          <w:tcPr>
            <w:tcW w:w="1559" w:type="dxa"/>
          </w:tcPr>
          <w:p w:rsidR="000940B2" w:rsidRPr="00393EAA" w:rsidRDefault="000940B2" w:rsidP="00B924E1">
            <w:pPr>
              <w:spacing w:line="360" w:lineRule="auto"/>
              <w:jc w:val="center"/>
              <w:rPr>
                <w:color w:val="000000"/>
                <w:vertAlign w:val="superscript"/>
              </w:rPr>
            </w:pPr>
            <w:r w:rsidRPr="00393EAA">
              <w:rPr>
                <w:color w:val="000000"/>
                <w:sz w:val="22"/>
                <w:szCs w:val="22"/>
              </w:rPr>
              <w:t>6,20±1,05</w:t>
            </w:r>
            <w:r w:rsidRPr="00393EAA">
              <w:rPr>
                <w:color w:val="000000"/>
                <w:sz w:val="22"/>
                <w:szCs w:val="22"/>
                <w:vertAlign w:val="superscript"/>
              </w:rPr>
              <w:t>a</w:t>
            </w:r>
          </w:p>
        </w:tc>
        <w:tc>
          <w:tcPr>
            <w:tcW w:w="1452" w:type="dxa"/>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6,02±0,97</w:t>
            </w:r>
            <w:r w:rsidRPr="00393EAA">
              <w:rPr>
                <w:color w:val="000000"/>
                <w:sz w:val="22"/>
                <w:szCs w:val="22"/>
                <w:vertAlign w:val="superscript"/>
              </w:rPr>
              <w:t>a</w:t>
            </w:r>
          </w:p>
        </w:tc>
        <w:tc>
          <w:tcPr>
            <w:tcW w:w="1417" w:type="dxa"/>
          </w:tcPr>
          <w:p w:rsidR="000940B2" w:rsidRPr="00393EAA" w:rsidRDefault="000940B2" w:rsidP="00B924E1">
            <w:pPr>
              <w:spacing w:line="360" w:lineRule="auto"/>
              <w:jc w:val="center"/>
              <w:rPr>
                <w:color w:val="000000"/>
                <w:vertAlign w:val="superscript"/>
              </w:rPr>
            </w:pPr>
            <w:r w:rsidRPr="00393EAA">
              <w:rPr>
                <w:color w:val="000000"/>
                <w:sz w:val="22"/>
                <w:szCs w:val="22"/>
              </w:rPr>
              <w:t xml:space="preserve"> 5,97±1,10</w:t>
            </w:r>
            <w:r w:rsidRPr="00393EAA">
              <w:rPr>
                <w:color w:val="000000"/>
                <w:sz w:val="22"/>
                <w:szCs w:val="22"/>
                <w:vertAlign w:val="superscript"/>
              </w:rPr>
              <w:t>a</w:t>
            </w:r>
          </w:p>
        </w:tc>
      </w:tr>
      <w:tr w:rsidR="000940B2" w:rsidRPr="004B1A25" w:rsidTr="004F1002">
        <w:tc>
          <w:tcPr>
            <w:tcW w:w="2376" w:type="dxa"/>
          </w:tcPr>
          <w:p w:rsidR="000940B2" w:rsidRPr="004B1A25" w:rsidRDefault="000940B2" w:rsidP="00B924E1">
            <w:pPr>
              <w:spacing w:line="360" w:lineRule="auto"/>
              <w:rPr>
                <w:color w:val="000000"/>
              </w:rPr>
            </w:pPr>
            <w:r w:rsidRPr="004B1A25">
              <w:rPr>
                <w:rFonts w:eastAsia="TimesNewRoman"/>
              </w:rPr>
              <w:t>Overall acceptance</w:t>
            </w:r>
          </w:p>
        </w:tc>
        <w:tc>
          <w:tcPr>
            <w:tcW w:w="1525" w:type="dxa"/>
          </w:tcPr>
          <w:p w:rsidR="000940B2" w:rsidRPr="004B1A25" w:rsidRDefault="000940B2" w:rsidP="00B924E1">
            <w:pPr>
              <w:spacing w:line="360" w:lineRule="auto"/>
              <w:ind w:left="-96" w:right="-129"/>
              <w:jc w:val="center"/>
              <w:rPr>
                <w:color w:val="000000"/>
                <w:vertAlign w:val="superscript"/>
              </w:rPr>
            </w:pPr>
            <w:r w:rsidRPr="004B1A25">
              <w:rPr>
                <w:color w:val="000000"/>
              </w:rPr>
              <w:t>4,79±0,45</w:t>
            </w:r>
            <w:r w:rsidRPr="004B1A25">
              <w:rPr>
                <w:color w:val="000000"/>
                <w:vertAlign w:val="superscript"/>
              </w:rPr>
              <w:t>a</w:t>
            </w:r>
          </w:p>
        </w:tc>
        <w:tc>
          <w:tcPr>
            <w:tcW w:w="1418" w:type="dxa"/>
          </w:tcPr>
          <w:p w:rsidR="000940B2" w:rsidRPr="004B1A25" w:rsidRDefault="000940B2" w:rsidP="00B924E1">
            <w:pPr>
              <w:spacing w:line="360" w:lineRule="auto"/>
              <w:jc w:val="center"/>
              <w:rPr>
                <w:color w:val="000000"/>
                <w:vertAlign w:val="superscript"/>
              </w:rPr>
            </w:pPr>
            <w:r w:rsidRPr="004B1A25">
              <w:rPr>
                <w:color w:val="000000"/>
              </w:rPr>
              <w:t>4,72±0,57</w:t>
            </w:r>
            <w:r w:rsidRPr="004B1A25">
              <w:rPr>
                <w:color w:val="000000"/>
                <w:vertAlign w:val="superscript"/>
              </w:rPr>
              <w:t>a</w:t>
            </w:r>
          </w:p>
        </w:tc>
        <w:tc>
          <w:tcPr>
            <w:tcW w:w="1559" w:type="dxa"/>
          </w:tcPr>
          <w:p w:rsidR="000940B2" w:rsidRPr="004B1A25" w:rsidRDefault="000940B2" w:rsidP="00B924E1">
            <w:pPr>
              <w:spacing w:line="360" w:lineRule="auto"/>
              <w:jc w:val="center"/>
              <w:rPr>
                <w:color w:val="000000"/>
                <w:vertAlign w:val="superscript"/>
              </w:rPr>
            </w:pPr>
            <w:r w:rsidRPr="004B1A25">
              <w:rPr>
                <w:color w:val="000000"/>
              </w:rPr>
              <w:t>4,69±0,50</w:t>
            </w:r>
            <w:r w:rsidRPr="004B1A25">
              <w:rPr>
                <w:color w:val="000000"/>
                <w:vertAlign w:val="superscript"/>
              </w:rPr>
              <w:t>a</w:t>
            </w:r>
          </w:p>
        </w:tc>
        <w:tc>
          <w:tcPr>
            <w:tcW w:w="1452" w:type="dxa"/>
          </w:tcPr>
          <w:p w:rsidR="000940B2" w:rsidRPr="004B1A25" w:rsidRDefault="000940B2" w:rsidP="00B924E1">
            <w:pPr>
              <w:spacing w:line="360" w:lineRule="auto"/>
              <w:ind w:left="-155" w:right="-105"/>
              <w:jc w:val="center"/>
              <w:rPr>
                <w:color w:val="000000"/>
                <w:vertAlign w:val="superscript"/>
              </w:rPr>
            </w:pPr>
            <w:r w:rsidRPr="004B1A25">
              <w:rPr>
                <w:color w:val="000000"/>
              </w:rPr>
              <w:t>4,69±0,66</w:t>
            </w:r>
            <w:r w:rsidRPr="004B1A25">
              <w:rPr>
                <w:color w:val="000000"/>
                <w:vertAlign w:val="superscript"/>
              </w:rPr>
              <w:t>a</w:t>
            </w:r>
          </w:p>
        </w:tc>
        <w:tc>
          <w:tcPr>
            <w:tcW w:w="1417" w:type="dxa"/>
          </w:tcPr>
          <w:p w:rsidR="000940B2" w:rsidRPr="004B1A25" w:rsidRDefault="000940B2" w:rsidP="00B924E1">
            <w:pPr>
              <w:spacing w:line="360" w:lineRule="auto"/>
              <w:jc w:val="center"/>
              <w:rPr>
                <w:color w:val="000000"/>
                <w:vertAlign w:val="superscript"/>
              </w:rPr>
            </w:pPr>
            <w:r w:rsidRPr="004B1A25">
              <w:rPr>
                <w:color w:val="000000"/>
              </w:rPr>
              <w:t>4,69±0,63</w:t>
            </w:r>
            <w:r w:rsidRPr="004B1A25">
              <w:rPr>
                <w:color w:val="000000"/>
                <w:vertAlign w:val="superscript"/>
              </w:rPr>
              <w:t>a</w:t>
            </w:r>
          </w:p>
        </w:tc>
      </w:tr>
      <w:tr w:rsidR="000940B2" w:rsidRPr="009621E7" w:rsidTr="004F1002">
        <w:tc>
          <w:tcPr>
            <w:tcW w:w="2376" w:type="dxa"/>
            <w:tcBorders>
              <w:bottom w:val="single" w:sz="4" w:space="0" w:color="auto"/>
            </w:tcBorders>
          </w:tcPr>
          <w:p w:rsidR="000940B2" w:rsidRPr="00393EAA" w:rsidRDefault="000940B2" w:rsidP="00B924E1">
            <w:pPr>
              <w:spacing w:line="360" w:lineRule="auto"/>
              <w:rPr>
                <w:color w:val="000000"/>
              </w:rPr>
            </w:pPr>
            <w:r w:rsidRPr="00CB414B">
              <w:rPr>
                <w:lang w:val="en-US"/>
              </w:rPr>
              <w:t>Purchase intent</w:t>
            </w:r>
          </w:p>
        </w:tc>
        <w:tc>
          <w:tcPr>
            <w:tcW w:w="1525" w:type="dxa"/>
            <w:tcBorders>
              <w:bottom w:val="single" w:sz="4" w:space="0" w:color="auto"/>
            </w:tcBorders>
          </w:tcPr>
          <w:p w:rsidR="000940B2" w:rsidRPr="00393EAA" w:rsidRDefault="000940B2" w:rsidP="00B924E1">
            <w:pPr>
              <w:spacing w:line="360" w:lineRule="auto"/>
              <w:ind w:left="-96" w:right="-129"/>
              <w:jc w:val="center"/>
              <w:rPr>
                <w:color w:val="000000"/>
                <w:vertAlign w:val="superscript"/>
              </w:rPr>
            </w:pPr>
            <w:r w:rsidRPr="00393EAA">
              <w:rPr>
                <w:color w:val="000000"/>
                <w:sz w:val="22"/>
                <w:szCs w:val="22"/>
              </w:rPr>
              <w:t>4,68±0,58</w:t>
            </w:r>
            <w:r w:rsidRPr="00393EAA">
              <w:rPr>
                <w:color w:val="000000"/>
                <w:sz w:val="22"/>
                <w:szCs w:val="22"/>
                <w:vertAlign w:val="superscript"/>
              </w:rPr>
              <w:t>a</w:t>
            </w:r>
          </w:p>
        </w:tc>
        <w:tc>
          <w:tcPr>
            <w:tcW w:w="1418" w:type="dxa"/>
            <w:tcBorders>
              <w:bottom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4,62±0,60</w:t>
            </w:r>
            <w:r w:rsidRPr="00393EAA">
              <w:rPr>
                <w:color w:val="000000"/>
                <w:sz w:val="22"/>
                <w:szCs w:val="22"/>
                <w:vertAlign w:val="superscript"/>
              </w:rPr>
              <w:t>a</w:t>
            </w:r>
          </w:p>
        </w:tc>
        <w:tc>
          <w:tcPr>
            <w:tcW w:w="1559" w:type="dxa"/>
            <w:tcBorders>
              <w:bottom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4,47±0,89</w:t>
            </w:r>
            <w:r w:rsidRPr="00393EAA">
              <w:rPr>
                <w:color w:val="000000"/>
                <w:sz w:val="22"/>
                <w:szCs w:val="22"/>
                <w:vertAlign w:val="superscript"/>
              </w:rPr>
              <w:t>a</w:t>
            </w:r>
          </w:p>
        </w:tc>
        <w:tc>
          <w:tcPr>
            <w:tcW w:w="1452" w:type="dxa"/>
            <w:tcBorders>
              <w:bottom w:val="single" w:sz="4" w:space="0" w:color="auto"/>
            </w:tcBorders>
          </w:tcPr>
          <w:p w:rsidR="000940B2" w:rsidRPr="00393EAA" w:rsidRDefault="000940B2" w:rsidP="00B924E1">
            <w:pPr>
              <w:spacing w:line="360" w:lineRule="auto"/>
              <w:ind w:left="-155" w:right="-105"/>
              <w:jc w:val="center"/>
              <w:rPr>
                <w:color w:val="000000"/>
                <w:vertAlign w:val="superscript"/>
              </w:rPr>
            </w:pPr>
            <w:r w:rsidRPr="00393EAA">
              <w:rPr>
                <w:color w:val="000000"/>
                <w:sz w:val="22"/>
                <w:szCs w:val="22"/>
              </w:rPr>
              <w:t>4,52±0,85</w:t>
            </w:r>
            <w:r w:rsidRPr="00393EAA">
              <w:rPr>
                <w:color w:val="000000"/>
                <w:sz w:val="22"/>
                <w:szCs w:val="22"/>
                <w:vertAlign w:val="superscript"/>
              </w:rPr>
              <w:t>a</w:t>
            </w:r>
          </w:p>
        </w:tc>
        <w:tc>
          <w:tcPr>
            <w:tcW w:w="1417" w:type="dxa"/>
            <w:tcBorders>
              <w:bottom w:val="single" w:sz="4" w:space="0" w:color="auto"/>
            </w:tcBorders>
          </w:tcPr>
          <w:p w:rsidR="000940B2" w:rsidRPr="00393EAA" w:rsidRDefault="000940B2" w:rsidP="00B924E1">
            <w:pPr>
              <w:spacing w:line="360" w:lineRule="auto"/>
              <w:jc w:val="center"/>
              <w:rPr>
                <w:color w:val="000000"/>
                <w:vertAlign w:val="superscript"/>
              </w:rPr>
            </w:pPr>
            <w:r w:rsidRPr="00393EAA">
              <w:rPr>
                <w:color w:val="000000"/>
                <w:sz w:val="22"/>
                <w:szCs w:val="22"/>
              </w:rPr>
              <w:t>4,31±0,92</w:t>
            </w:r>
            <w:r w:rsidRPr="00393EAA">
              <w:rPr>
                <w:color w:val="000000"/>
                <w:sz w:val="22"/>
                <w:szCs w:val="22"/>
                <w:vertAlign w:val="superscript"/>
              </w:rPr>
              <w:t>a</w:t>
            </w:r>
          </w:p>
        </w:tc>
      </w:tr>
    </w:tbl>
    <w:p w:rsidR="000940B2" w:rsidRPr="00D87C47" w:rsidRDefault="000940B2" w:rsidP="00B924E1">
      <w:pPr>
        <w:spacing w:line="360" w:lineRule="auto"/>
        <w:jc w:val="both"/>
        <w:rPr>
          <w:sz w:val="16"/>
          <w:szCs w:val="16"/>
          <w:lang w:val="en-US"/>
        </w:rPr>
      </w:pPr>
      <w:r w:rsidRPr="00D87C47">
        <w:rPr>
          <w:sz w:val="16"/>
          <w:szCs w:val="16"/>
          <w:lang w:val="en-US"/>
        </w:rPr>
        <w:t xml:space="preserve">Different letters in the line indicate significant difference by Tukey's test (p&lt;0.05); </w:t>
      </w:r>
      <w:r w:rsidRPr="002475E6">
        <w:rPr>
          <w:iCs/>
          <w:sz w:val="16"/>
          <w:szCs w:val="16"/>
          <w:lang w:val="en-US"/>
        </w:rPr>
        <w:t>SD</w:t>
      </w:r>
      <w:r w:rsidRPr="002475E6">
        <w:rPr>
          <w:sz w:val="16"/>
          <w:szCs w:val="16"/>
          <w:lang w:val="en-US"/>
        </w:rPr>
        <w:t>:</w:t>
      </w:r>
      <w:r w:rsidRPr="00D87C47">
        <w:rPr>
          <w:sz w:val="16"/>
          <w:szCs w:val="16"/>
          <w:lang w:val="en-US"/>
        </w:rPr>
        <w:t xml:space="preserve"> Standard deviation; F1: standard; F2: 20% of inulin; F3: 25% of inulin; F4: 30% of inulin; F5: 35% of inulin. </w:t>
      </w:r>
    </w:p>
    <w:p w:rsidR="000940B2" w:rsidRPr="006E2206" w:rsidRDefault="000940B2" w:rsidP="00B924E1">
      <w:pPr>
        <w:spacing w:line="360" w:lineRule="auto"/>
        <w:ind w:right="44"/>
        <w:jc w:val="both"/>
        <w:rPr>
          <w:sz w:val="16"/>
          <w:szCs w:val="16"/>
          <w:lang w:val="en-US"/>
        </w:rPr>
      </w:pPr>
    </w:p>
    <w:p w:rsidR="00977249" w:rsidRPr="004565F6" w:rsidRDefault="00977249" w:rsidP="00B924E1">
      <w:pPr>
        <w:spacing w:line="360" w:lineRule="auto"/>
        <w:ind w:firstLine="708"/>
        <w:jc w:val="both"/>
        <w:rPr>
          <w:lang w:val="en-US" w:eastAsia="en-US"/>
        </w:rPr>
      </w:pPr>
      <w:r>
        <w:rPr>
          <w:lang w:val="en-US" w:eastAsia="en-US"/>
        </w:rPr>
        <w:t>There was not meaningful</w:t>
      </w:r>
      <w:r w:rsidRPr="004565F6">
        <w:rPr>
          <w:lang w:val="en-US" w:eastAsia="en-US"/>
        </w:rPr>
        <w:t xml:space="preserve"> difference (p&gt;0.05) </w:t>
      </w:r>
      <w:r>
        <w:rPr>
          <w:lang w:val="en-US" w:eastAsia="en-US"/>
        </w:rPr>
        <w:t xml:space="preserve">between the samples related to </w:t>
      </w:r>
      <w:r w:rsidRPr="004565F6">
        <w:rPr>
          <w:lang w:val="en-US" w:eastAsia="en-US"/>
        </w:rPr>
        <w:t>the attributes aroma, texture and color, corroborating</w:t>
      </w:r>
      <w:r>
        <w:rPr>
          <w:lang w:val="en-US" w:eastAsia="en-US"/>
        </w:rPr>
        <w:t xml:space="preserve"> with</w:t>
      </w:r>
      <w:r w:rsidRPr="004565F6">
        <w:rPr>
          <w:lang w:val="en-US" w:eastAsia="en-US"/>
        </w:rPr>
        <w:t xml:space="preserve"> studies</w:t>
      </w:r>
      <w:r w:rsidR="00A84E63">
        <w:rPr>
          <w:lang w:val="en-US" w:eastAsia="en-US"/>
        </w:rPr>
        <w:t xml:space="preserve"> from Moscatto et al. </w:t>
      </w:r>
      <w:r>
        <w:rPr>
          <w:lang w:val="en-US" w:eastAsia="en-US"/>
        </w:rPr>
        <w:t>(2004) who</w:t>
      </w:r>
      <w:r w:rsidRPr="004565F6">
        <w:rPr>
          <w:lang w:val="en-US" w:eastAsia="en-US"/>
        </w:rPr>
        <w:t xml:space="preserve"> evaluated the chocolate cake</w:t>
      </w:r>
      <w:r>
        <w:rPr>
          <w:lang w:val="en-US" w:eastAsia="en-US"/>
        </w:rPr>
        <w:t xml:space="preserve"> </w:t>
      </w:r>
      <w:r w:rsidRPr="004565F6">
        <w:rPr>
          <w:lang w:val="en-US" w:eastAsia="en-US"/>
        </w:rPr>
        <w:t xml:space="preserve">acceptability </w:t>
      </w:r>
      <w:r w:rsidRPr="00C277EF">
        <w:rPr>
          <w:lang w:val="en-US" w:eastAsia="en-US"/>
        </w:rPr>
        <w:t>added with inulin</w:t>
      </w:r>
      <w:r w:rsidRPr="004565F6">
        <w:rPr>
          <w:lang w:val="en-US" w:eastAsia="en-US"/>
        </w:rPr>
        <w:t xml:space="preserve"> (6%) among adults.</w:t>
      </w:r>
    </w:p>
    <w:p w:rsidR="00977249" w:rsidRPr="004565F6" w:rsidRDefault="00977249" w:rsidP="00571A63">
      <w:pPr>
        <w:spacing w:line="360" w:lineRule="auto"/>
        <w:ind w:firstLine="708"/>
        <w:jc w:val="both"/>
        <w:rPr>
          <w:lang w:val="en-US" w:eastAsia="en-US"/>
        </w:rPr>
      </w:pPr>
      <w:r w:rsidRPr="004565F6">
        <w:rPr>
          <w:lang w:val="en-US" w:eastAsia="en-US"/>
        </w:rPr>
        <w:t>It is noteworthy that during the preparation of</w:t>
      </w:r>
      <w:r>
        <w:rPr>
          <w:lang w:val="en-US" w:eastAsia="en-US"/>
        </w:rPr>
        <w:t xml:space="preserve"> bread</w:t>
      </w:r>
      <w:r w:rsidRPr="004565F6">
        <w:rPr>
          <w:lang w:val="en-US" w:eastAsia="en-US"/>
        </w:rPr>
        <w:t xml:space="preserve"> formulations</w:t>
      </w:r>
      <w:r>
        <w:rPr>
          <w:lang w:val="en-US" w:eastAsia="en-US"/>
        </w:rPr>
        <w:t>, according to</w:t>
      </w:r>
      <w:r w:rsidRPr="004565F6">
        <w:rPr>
          <w:lang w:val="en-US" w:eastAsia="en-US"/>
        </w:rPr>
        <w:t xml:space="preserve"> higher levels of </w:t>
      </w:r>
      <w:r w:rsidRPr="00C277EF">
        <w:rPr>
          <w:lang w:val="en-US" w:eastAsia="en-US"/>
        </w:rPr>
        <w:t>inulin added to</w:t>
      </w:r>
      <w:r>
        <w:rPr>
          <w:lang w:val="en-US" w:eastAsia="en-US"/>
        </w:rPr>
        <w:t xml:space="preserve"> the</w:t>
      </w:r>
      <w:r w:rsidRPr="004565F6">
        <w:rPr>
          <w:lang w:val="en-US" w:eastAsia="en-US"/>
        </w:rPr>
        <w:t xml:space="preserve"> mass presented</w:t>
      </w:r>
      <w:r>
        <w:rPr>
          <w:lang w:val="en-US" w:eastAsia="en-US"/>
        </w:rPr>
        <w:t xml:space="preserve"> itself</w:t>
      </w:r>
      <w:r w:rsidRPr="004565F6">
        <w:rPr>
          <w:lang w:val="en-US" w:eastAsia="en-US"/>
        </w:rPr>
        <w:t xml:space="preserve"> softer, making</w:t>
      </w:r>
      <w:r>
        <w:rPr>
          <w:lang w:val="en-US" w:eastAsia="en-US"/>
        </w:rPr>
        <w:t xml:space="preserve"> difficult the mass modeling</w:t>
      </w:r>
      <w:r w:rsidRPr="004565F6">
        <w:rPr>
          <w:lang w:val="en-US" w:eastAsia="en-US"/>
        </w:rPr>
        <w:t>, however, as previously mention</w:t>
      </w:r>
      <w:r>
        <w:rPr>
          <w:lang w:val="en-US" w:eastAsia="en-US"/>
        </w:rPr>
        <w:t xml:space="preserve">ed, this </w:t>
      </w:r>
      <w:r w:rsidRPr="004565F6">
        <w:rPr>
          <w:lang w:val="en-US" w:eastAsia="en-US"/>
        </w:rPr>
        <w:t>texture</w:t>
      </w:r>
      <w:r>
        <w:rPr>
          <w:lang w:val="en-US" w:eastAsia="en-US"/>
        </w:rPr>
        <w:t xml:space="preserve"> technological change</w:t>
      </w:r>
      <w:r w:rsidRPr="004565F6">
        <w:rPr>
          <w:lang w:val="en-US" w:eastAsia="en-US"/>
        </w:rPr>
        <w:t xml:space="preserve"> was not detected by children after cooking.</w:t>
      </w:r>
    </w:p>
    <w:p w:rsidR="00977249" w:rsidRPr="004565F6" w:rsidRDefault="00977249" w:rsidP="00571A63">
      <w:pPr>
        <w:spacing w:line="360" w:lineRule="auto"/>
        <w:ind w:firstLine="708"/>
        <w:jc w:val="both"/>
        <w:rPr>
          <w:lang w:val="en-US" w:eastAsia="en-US"/>
        </w:rPr>
      </w:pPr>
      <w:r>
        <w:rPr>
          <w:lang w:val="en-US" w:eastAsia="en-US"/>
        </w:rPr>
        <w:t>Evaluating the attribute appearance, it is possible to verify</w:t>
      </w:r>
      <w:r w:rsidRPr="004565F6">
        <w:rPr>
          <w:lang w:val="en-US" w:eastAsia="en-US"/>
        </w:rPr>
        <w:t xml:space="preserve"> th</w:t>
      </w:r>
      <w:r>
        <w:rPr>
          <w:lang w:val="en-US" w:eastAsia="en-US"/>
        </w:rPr>
        <w:t>at</w:t>
      </w:r>
      <w:r w:rsidRPr="004565F6">
        <w:rPr>
          <w:lang w:val="en-US" w:eastAsia="en-US"/>
        </w:rPr>
        <w:t xml:space="preserve"> sample F</w:t>
      </w:r>
      <w:r>
        <w:rPr>
          <w:lang w:val="en-US" w:eastAsia="en-US"/>
        </w:rPr>
        <w:t>5 was less accepted by the judges (p</w:t>
      </w:r>
      <w:r w:rsidRPr="004565F6">
        <w:rPr>
          <w:lang w:val="en-US" w:eastAsia="en-US"/>
        </w:rPr>
        <w:t>&lt;0.05), with</w:t>
      </w:r>
      <w:r>
        <w:rPr>
          <w:lang w:val="en-US" w:eastAsia="en-US"/>
        </w:rPr>
        <w:t xml:space="preserve">out </w:t>
      </w:r>
      <w:r w:rsidRPr="004565F6">
        <w:rPr>
          <w:lang w:val="en-US" w:eastAsia="en-US"/>
        </w:rPr>
        <w:t>statistical difference between the other sample</w:t>
      </w:r>
      <w:r>
        <w:rPr>
          <w:lang w:val="en-US" w:eastAsia="en-US"/>
        </w:rPr>
        <w:t>s. Yet</w:t>
      </w:r>
      <w:r w:rsidR="00A84E63">
        <w:rPr>
          <w:lang w:val="en-US" w:eastAsia="en-US"/>
        </w:rPr>
        <w:t xml:space="preserve"> et al.</w:t>
      </w:r>
      <w:r>
        <w:rPr>
          <w:lang w:val="en-US" w:eastAsia="en-US"/>
        </w:rPr>
        <w:t xml:space="preserve"> (2010) </w:t>
      </w:r>
      <w:r>
        <w:rPr>
          <w:lang w:val="en-US" w:eastAsia="en-US"/>
        </w:rPr>
        <w:lastRenderedPageBreak/>
        <w:t>researches with adult judges</w:t>
      </w:r>
      <w:r w:rsidRPr="004565F6">
        <w:rPr>
          <w:lang w:val="en-US" w:eastAsia="en-US"/>
        </w:rPr>
        <w:t xml:space="preserve"> evaluating </w:t>
      </w:r>
      <w:r w:rsidRPr="007811A9">
        <w:rPr>
          <w:lang w:val="en-US" w:eastAsia="en-US"/>
        </w:rPr>
        <w:t>biscuits type cookies</w:t>
      </w:r>
      <w:r w:rsidRPr="004565F6">
        <w:rPr>
          <w:lang w:val="en-US" w:eastAsia="en-US"/>
        </w:rPr>
        <w:t xml:space="preserve"> added 10, 20 and 30% </w:t>
      </w:r>
      <w:r>
        <w:rPr>
          <w:lang w:val="en-US" w:eastAsia="en-US"/>
        </w:rPr>
        <w:t xml:space="preserve">with </w:t>
      </w:r>
      <w:r w:rsidRPr="004565F6">
        <w:rPr>
          <w:lang w:val="en-US" w:eastAsia="en-US"/>
        </w:rPr>
        <w:t>inulin, resulted in lower appearance</w:t>
      </w:r>
      <w:r>
        <w:rPr>
          <w:lang w:val="en-US" w:eastAsia="en-US"/>
        </w:rPr>
        <w:t xml:space="preserve"> </w:t>
      </w:r>
      <w:r w:rsidRPr="004565F6">
        <w:rPr>
          <w:lang w:val="en-US" w:eastAsia="en-US"/>
        </w:rPr>
        <w:t>scores</w:t>
      </w:r>
      <w:r>
        <w:rPr>
          <w:lang w:val="en-US" w:eastAsia="en-US"/>
        </w:rPr>
        <w:t xml:space="preserve"> in products</w:t>
      </w:r>
      <w:r w:rsidRPr="004565F6">
        <w:rPr>
          <w:lang w:val="en-US" w:eastAsia="en-US"/>
        </w:rPr>
        <w:t xml:space="preserve"> containing 30% of ingredient.</w:t>
      </w:r>
    </w:p>
    <w:p w:rsidR="00977249" w:rsidRPr="004565F6" w:rsidRDefault="00977249" w:rsidP="00571A63">
      <w:pPr>
        <w:spacing w:line="360" w:lineRule="auto"/>
        <w:ind w:firstLine="708"/>
        <w:jc w:val="both"/>
        <w:rPr>
          <w:lang w:val="en-US" w:eastAsia="en-US"/>
        </w:rPr>
      </w:pPr>
      <w:r w:rsidRPr="004565F6">
        <w:rPr>
          <w:lang w:val="en-US" w:eastAsia="en-US"/>
        </w:rPr>
        <w:t>Some research</w:t>
      </w:r>
      <w:r>
        <w:rPr>
          <w:lang w:val="en-US" w:eastAsia="en-US"/>
        </w:rPr>
        <w:t xml:space="preserve">es confirm that </w:t>
      </w:r>
      <w:r w:rsidRPr="004565F6">
        <w:rPr>
          <w:lang w:val="en-US" w:eastAsia="en-US"/>
        </w:rPr>
        <w:t>inulin</w:t>
      </w:r>
      <w:r>
        <w:rPr>
          <w:lang w:val="en-US" w:eastAsia="en-US"/>
        </w:rPr>
        <w:t xml:space="preserve"> presence in </w:t>
      </w:r>
      <w:r w:rsidRPr="004565F6">
        <w:rPr>
          <w:lang w:val="en-US" w:eastAsia="en-US"/>
        </w:rPr>
        <w:t>products can modify the</w:t>
      </w:r>
      <w:r>
        <w:rPr>
          <w:lang w:val="en-US" w:eastAsia="en-US"/>
        </w:rPr>
        <w:t xml:space="preserve"> </w:t>
      </w:r>
      <w:r w:rsidRPr="004565F6">
        <w:rPr>
          <w:lang w:val="en-US" w:eastAsia="en-US"/>
        </w:rPr>
        <w:t>products appearance. Pere</w:t>
      </w:r>
      <w:r>
        <w:rPr>
          <w:lang w:val="en-US" w:eastAsia="en-US"/>
        </w:rPr>
        <w:t>ssini and Sensidoni (2009) verified</w:t>
      </w:r>
      <w:r w:rsidRPr="004565F6">
        <w:rPr>
          <w:lang w:val="en-US" w:eastAsia="en-US"/>
        </w:rPr>
        <w:t xml:space="preserve"> that additions of 5 and 7</w:t>
      </w:r>
      <w:r>
        <w:rPr>
          <w:lang w:val="en-US" w:eastAsia="en-US"/>
        </w:rPr>
        <w:t>.5% inulin increased the</w:t>
      </w:r>
      <w:r w:rsidRPr="004565F6">
        <w:rPr>
          <w:lang w:val="en-US" w:eastAsia="en-US"/>
        </w:rPr>
        <w:t xml:space="preserve"> growth</w:t>
      </w:r>
      <w:r>
        <w:rPr>
          <w:lang w:val="en-US" w:eastAsia="en-US"/>
        </w:rPr>
        <w:t xml:space="preserve"> time</w:t>
      </w:r>
      <w:r w:rsidRPr="004565F6">
        <w:rPr>
          <w:lang w:val="en-US" w:eastAsia="en-US"/>
        </w:rPr>
        <w:t xml:space="preserve"> of bread dough, al</w:t>
      </w:r>
      <w:r>
        <w:rPr>
          <w:lang w:val="en-US" w:eastAsia="en-US"/>
        </w:rPr>
        <w:t>so verified in the present research. Yet</w:t>
      </w:r>
      <w:r w:rsidRPr="004565F6">
        <w:rPr>
          <w:lang w:val="en-US" w:eastAsia="en-US"/>
        </w:rPr>
        <w:t>, Wang</w:t>
      </w:r>
      <w:r>
        <w:rPr>
          <w:lang w:val="en-US" w:eastAsia="en-US"/>
        </w:rPr>
        <w:t>,</w:t>
      </w:r>
      <w:r w:rsidRPr="004565F6">
        <w:rPr>
          <w:lang w:val="en-US" w:eastAsia="en-US"/>
        </w:rPr>
        <w:t xml:space="preserve"> </w:t>
      </w:r>
      <w:r>
        <w:rPr>
          <w:lang w:val="en-US"/>
        </w:rPr>
        <w:t xml:space="preserve">Wilson and </w:t>
      </w:r>
      <w:r w:rsidRPr="00501102">
        <w:rPr>
          <w:lang w:val="en-US"/>
        </w:rPr>
        <w:t>Griffith</w:t>
      </w:r>
      <w:r w:rsidRPr="004565F6">
        <w:rPr>
          <w:lang w:val="en-US" w:eastAsia="en-US"/>
        </w:rPr>
        <w:t xml:space="preserve"> (</w:t>
      </w:r>
      <w:r>
        <w:rPr>
          <w:lang w:val="en-US" w:eastAsia="en-US"/>
        </w:rPr>
        <w:t xml:space="preserve">2002) found that the </w:t>
      </w:r>
      <w:r w:rsidRPr="004565F6">
        <w:rPr>
          <w:lang w:val="en-US" w:eastAsia="en-US"/>
        </w:rPr>
        <w:t xml:space="preserve">mass </w:t>
      </w:r>
      <w:r>
        <w:rPr>
          <w:lang w:val="en-US" w:eastAsia="en-US"/>
        </w:rPr>
        <w:t xml:space="preserve">height </w:t>
      </w:r>
      <w:r w:rsidR="00B924E1">
        <w:rPr>
          <w:lang w:val="en-US" w:eastAsia="en-US"/>
        </w:rPr>
        <w:t xml:space="preserve">was lower when added 3% </w:t>
      </w:r>
      <w:r w:rsidRPr="004565F6">
        <w:rPr>
          <w:lang w:val="en-US" w:eastAsia="en-US"/>
        </w:rPr>
        <w:t>inulin to the dough. According to Morris and Morris (2012), inulin</w:t>
      </w:r>
      <w:r>
        <w:rPr>
          <w:lang w:val="en-US" w:eastAsia="en-US"/>
        </w:rPr>
        <w:t xml:space="preserve"> can interfere to</w:t>
      </w:r>
      <w:r w:rsidRPr="004565F6">
        <w:rPr>
          <w:lang w:val="en-US" w:eastAsia="en-US"/>
        </w:rPr>
        <w:t xml:space="preserve"> the elasticity and </w:t>
      </w:r>
      <w:r w:rsidRPr="00757BBB">
        <w:rPr>
          <w:lang w:val="en-US" w:eastAsia="en-US"/>
        </w:rPr>
        <w:t>deformation resistance</w:t>
      </w:r>
      <w:r>
        <w:rPr>
          <w:b/>
          <w:bCs/>
          <w:lang w:val="en-US" w:eastAsia="en-US"/>
        </w:rPr>
        <w:t xml:space="preserve"> </w:t>
      </w:r>
      <w:r>
        <w:rPr>
          <w:lang w:val="en-US" w:eastAsia="en-US"/>
        </w:rPr>
        <w:t>of</w:t>
      </w:r>
      <w:r w:rsidRPr="004565F6">
        <w:rPr>
          <w:lang w:val="en-US" w:eastAsia="en-US"/>
        </w:rPr>
        <w:t xml:space="preserve"> masses interfering</w:t>
      </w:r>
      <w:r>
        <w:rPr>
          <w:lang w:val="en-US" w:eastAsia="en-US"/>
        </w:rPr>
        <w:t xml:space="preserve"> in</w:t>
      </w:r>
      <w:r w:rsidRPr="004565F6">
        <w:rPr>
          <w:lang w:val="en-US" w:eastAsia="en-US"/>
        </w:rPr>
        <w:t xml:space="preserve"> gluten network, resulting in a </w:t>
      </w:r>
      <w:r>
        <w:rPr>
          <w:lang w:val="en-US" w:eastAsia="en-US"/>
        </w:rPr>
        <w:t xml:space="preserve">product with lower final </w:t>
      </w:r>
      <w:r w:rsidRPr="004565F6">
        <w:rPr>
          <w:lang w:val="en-US" w:eastAsia="en-US"/>
        </w:rPr>
        <w:t>development</w:t>
      </w:r>
      <w:r>
        <w:rPr>
          <w:lang w:val="en-US" w:eastAsia="en-US"/>
        </w:rPr>
        <w:t xml:space="preserve"> volume</w:t>
      </w:r>
      <w:r w:rsidRPr="004565F6">
        <w:rPr>
          <w:lang w:val="en-US" w:eastAsia="en-US"/>
        </w:rPr>
        <w:t>. These technological changes may explain the lower scores for</w:t>
      </w:r>
      <w:r>
        <w:rPr>
          <w:lang w:val="en-US" w:eastAsia="en-US"/>
        </w:rPr>
        <w:t xml:space="preserve"> appearance to the sample with higher </w:t>
      </w:r>
      <w:r w:rsidRPr="004565F6">
        <w:rPr>
          <w:lang w:val="en-US" w:eastAsia="en-US"/>
        </w:rPr>
        <w:t>inulin</w:t>
      </w:r>
      <w:r>
        <w:rPr>
          <w:lang w:val="en-US" w:eastAsia="en-US"/>
        </w:rPr>
        <w:t xml:space="preserve"> content</w:t>
      </w:r>
      <w:r w:rsidRPr="004565F6">
        <w:rPr>
          <w:lang w:val="en-US" w:eastAsia="en-US"/>
        </w:rPr>
        <w:t>.</w:t>
      </w:r>
    </w:p>
    <w:p w:rsidR="00977249" w:rsidRPr="004565F6" w:rsidRDefault="00977249" w:rsidP="00571A63">
      <w:pPr>
        <w:spacing w:line="360" w:lineRule="auto"/>
        <w:ind w:firstLine="708"/>
        <w:jc w:val="both"/>
        <w:rPr>
          <w:lang w:val="en-US" w:eastAsia="en-US"/>
        </w:rPr>
      </w:pPr>
      <w:r w:rsidRPr="004565F6">
        <w:rPr>
          <w:lang w:val="en-US" w:eastAsia="en-US"/>
        </w:rPr>
        <w:t xml:space="preserve">For the </w:t>
      </w:r>
      <w:r>
        <w:rPr>
          <w:lang w:val="en-US" w:eastAsia="en-US"/>
        </w:rPr>
        <w:t>taste</w:t>
      </w:r>
      <w:r w:rsidRPr="004565F6">
        <w:rPr>
          <w:lang w:val="en-US" w:eastAsia="en-US"/>
        </w:rPr>
        <w:t xml:space="preserve"> attribute, the standard formulation (F1) showed greater acceptance (p&lt;0.05) than F5, </w:t>
      </w:r>
      <w:r w:rsidRPr="009E0BA4">
        <w:rPr>
          <w:lang w:val="en-US" w:eastAsia="en-US"/>
        </w:rPr>
        <w:t>without statistical difference from the others, results were also verified by Aplevlicz and Dias (2010). This fact can be explained because inulin is slightly sweet, representing only 10% of the sweetness of sucrose</w:t>
      </w:r>
      <w:r w:rsidRPr="004565F6">
        <w:rPr>
          <w:lang w:val="en-US" w:eastAsia="en-US"/>
        </w:rPr>
        <w:t xml:space="preserve"> (</w:t>
      </w:r>
      <w:r w:rsidR="00A92F18">
        <w:rPr>
          <w:lang w:val="en-US"/>
        </w:rPr>
        <w:t>ISIK</w:t>
      </w:r>
      <w:r w:rsidR="007C3E9F">
        <w:rPr>
          <w:lang w:val="en-US"/>
        </w:rPr>
        <w:t xml:space="preserve"> et al., 2011</w:t>
      </w:r>
      <w:r w:rsidRPr="004565F6">
        <w:rPr>
          <w:lang w:val="en-US" w:eastAsia="en-US"/>
        </w:rPr>
        <w:t>), which was reduced in the f</w:t>
      </w:r>
      <w:r>
        <w:rPr>
          <w:lang w:val="en-US" w:eastAsia="en-US"/>
        </w:rPr>
        <w:t>ormulations of the present research</w:t>
      </w:r>
      <w:r w:rsidRPr="004565F6">
        <w:rPr>
          <w:lang w:val="en-US" w:eastAsia="en-US"/>
        </w:rPr>
        <w:t>.</w:t>
      </w:r>
    </w:p>
    <w:p w:rsidR="00977249" w:rsidRPr="004565F6" w:rsidRDefault="00977249" w:rsidP="00571A63">
      <w:pPr>
        <w:spacing w:line="360" w:lineRule="auto"/>
        <w:ind w:firstLine="708"/>
        <w:jc w:val="both"/>
        <w:rPr>
          <w:lang w:val="en-US" w:eastAsia="en-US"/>
        </w:rPr>
      </w:pPr>
      <w:r w:rsidRPr="004565F6">
        <w:rPr>
          <w:lang w:val="en-US" w:eastAsia="en-US"/>
        </w:rPr>
        <w:t xml:space="preserve">Despite the </w:t>
      </w:r>
      <w:r>
        <w:rPr>
          <w:lang w:val="en-US" w:eastAsia="en-US"/>
        </w:rPr>
        <w:t>lower evaluation</w:t>
      </w:r>
      <w:r w:rsidRPr="004565F6">
        <w:rPr>
          <w:lang w:val="en-US" w:eastAsia="en-US"/>
        </w:rPr>
        <w:t xml:space="preserve"> for appearance and </w:t>
      </w:r>
      <w:r>
        <w:rPr>
          <w:lang w:val="en-US" w:eastAsia="en-US"/>
        </w:rPr>
        <w:t>taste</w:t>
      </w:r>
      <w:r w:rsidRPr="004565F6">
        <w:rPr>
          <w:lang w:val="en-US" w:eastAsia="en-US"/>
        </w:rPr>
        <w:t xml:space="preserve"> attributes of F5, issues of global acceptance and </w:t>
      </w:r>
      <w:r w:rsidRPr="009934F8">
        <w:rPr>
          <w:lang w:val="en-US" w:eastAsia="en-US"/>
        </w:rPr>
        <w:t>purchase intention</w:t>
      </w:r>
      <w:r>
        <w:rPr>
          <w:lang w:val="en-US" w:eastAsia="en-US"/>
        </w:rPr>
        <w:t xml:space="preserve"> received</w:t>
      </w:r>
      <w:r w:rsidRPr="004565F6">
        <w:rPr>
          <w:lang w:val="en-US" w:eastAsia="en-US"/>
        </w:rPr>
        <w:t xml:space="preserve"> positive</w:t>
      </w:r>
      <w:r>
        <w:rPr>
          <w:lang w:val="en-US" w:eastAsia="en-US"/>
        </w:rPr>
        <w:t xml:space="preserve"> results</w:t>
      </w:r>
      <w:r w:rsidRPr="004565F6">
        <w:rPr>
          <w:lang w:val="en-US" w:eastAsia="en-US"/>
        </w:rPr>
        <w:t xml:space="preserve">, since the </w:t>
      </w:r>
      <w:r>
        <w:rPr>
          <w:lang w:val="en-US" w:eastAsia="en-US"/>
        </w:rPr>
        <w:t>judges</w:t>
      </w:r>
      <w:r w:rsidRPr="004565F6">
        <w:rPr>
          <w:lang w:val="en-US" w:eastAsia="en-US"/>
        </w:rPr>
        <w:t xml:space="preserve"> did not detect differences between the standard samples and those with inulin (p&gt;0.05).</w:t>
      </w:r>
    </w:p>
    <w:p w:rsidR="00977249" w:rsidRPr="004565F6" w:rsidRDefault="00977249" w:rsidP="00571A63">
      <w:pPr>
        <w:spacing w:line="360" w:lineRule="auto"/>
        <w:ind w:firstLine="708"/>
        <w:jc w:val="both"/>
        <w:rPr>
          <w:lang w:val="en-US" w:eastAsia="en-US"/>
        </w:rPr>
      </w:pPr>
      <w:r>
        <w:rPr>
          <w:lang w:val="en-US" w:eastAsia="en-US"/>
        </w:rPr>
        <w:t xml:space="preserve">It is noteworthy that global </w:t>
      </w:r>
      <w:r w:rsidRPr="004565F6">
        <w:rPr>
          <w:lang w:val="en-US" w:eastAsia="en-US"/>
        </w:rPr>
        <w:t>products</w:t>
      </w:r>
      <w:r>
        <w:rPr>
          <w:lang w:val="en-US" w:eastAsia="en-US"/>
        </w:rPr>
        <w:t xml:space="preserve"> acceptability </w:t>
      </w:r>
      <w:r w:rsidRPr="004565F6">
        <w:rPr>
          <w:lang w:val="en-US" w:eastAsia="en-US"/>
        </w:rPr>
        <w:t>obtained a score within the recommended by the National Fund for Education Development (ENDF) (4-5 points in facial hedonic scale of 5 points), so</w:t>
      </w:r>
      <w:r>
        <w:rPr>
          <w:lang w:val="en-US" w:eastAsia="en-US"/>
        </w:rPr>
        <w:t>,</w:t>
      </w:r>
      <w:r w:rsidRPr="004565F6">
        <w:rPr>
          <w:lang w:val="en-US" w:eastAsia="en-US"/>
        </w:rPr>
        <w:t xml:space="preserve"> this product could be inserted in school lunches due to the high acceptanc</w:t>
      </w:r>
      <w:r>
        <w:rPr>
          <w:lang w:val="en-US" w:eastAsia="en-US"/>
        </w:rPr>
        <w:t>e by children (above</w:t>
      </w:r>
      <w:r w:rsidRPr="004565F6">
        <w:rPr>
          <w:lang w:val="en-US" w:eastAsia="en-US"/>
        </w:rPr>
        <w:t xml:space="preserve"> 4 points) (BRA</w:t>
      </w:r>
      <w:r w:rsidR="00A84E63">
        <w:rPr>
          <w:lang w:val="en-US" w:eastAsia="en-US"/>
        </w:rPr>
        <w:t>S</w:t>
      </w:r>
      <w:r w:rsidRPr="004565F6">
        <w:rPr>
          <w:lang w:val="en-US" w:eastAsia="en-US"/>
        </w:rPr>
        <w:t>IL, 2009).</w:t>
      </w:r>
    </w:p>
    <w:p w:rsidR="00977249" w:rsidRDefault="00977249" w:rsidP="00FF4070">
      <w:pPr>
        <w:spacing w:line="360" w:lineRule="auto"/>
        <w:ind w:firstLine="708"/>
        <w:jc w:val="both"/>
        <w:rPr>
          <w:lang w:val="en-US" w:eastAsia="en-US"/>
        </w:rPr>
      </w:pPr>
      <w:r w:rsidRPr="004565F6">
        <w:rPr>
          <w:lang w:val="en-US" w:eastAsia="en-US"/>
        </w:rPr>
        <w:t>In Figure 1 we can observe the</w:t>
      </w:r>
      <w:r>
        <w:rPr>
          <w:lang w:val="en-US" w:eastAsia="en-US"/>
        </w:rPr>
        <w:t xml:space="preserve"> judges distribution </w:t>
      </w:r>
      <w:r w:rsidRPr="00B36AEB">
        <w:rPr>
          <w:lang w:val="en-US" w:eastAsia="en-US"/>
        </w:rPr>
        <w:t xml:space="preserve">by </w:t>
      </w:r>
      <w:r w:rsidRPr="004565F6">
        <w:rPr>
          <w:lang w:val="en-US" w:eastAsia="en-US"/>
        </w:rPr>
        <w:t xml:space="preserve">hedonic </w:t>
      </w:r>
      <w:r>
        <w:rPr>
          <w:lang w:val="en-US" w:eastAsia="en-US"/>
        </w:rPr>
        <w:t>values ​​obtained in the</w:t>
      </w:r>
      <w:r w:rsidRPr="004565F6">
        <w:rPr>
          <w:lang w:val="en-US" w:eastAsia="en-US"/>
        </w:rPr>
        <w:t xml:space="preserve"> evaluat</w:t>
      </w:r>
      <w:r>
        <w:rPr>
          <w:lang w:val="en-US" w:eastAsia="en-US"/>
        </w:rPr>
        <w:t xml:space="preserve">ion of attributes of </w:t>
      </w:r>
      <w:r w:rsidRPr="004565F6">
        <w:rPr>
          <w:lang w:val="en-US" w:eastAsia="en-US"/>
        </w:rPr>
        <w:t>flavored</w:t>
      </w:r>
      <w:r>
        <w:rPr>
          <w:lang w:val="en-US" w:eastAsia="en-US"/>
        </w:rPr>
        <w:t xml:space="preserve"> breads</w:t>
      </w:r>
      <w:r w:rsidRPr="004565F6">
        <w:rPr>
          <w:lang w:val="en-US" w:eastAsia="en-US"/>
        </w:rPr>
        <w:t xml:space="preserve"> </w:t>
      </w:r>
      <w:r>
        <w:rPr>
          <w:lang w:val="en-US" w:eastAsia="en-US"/>
        </w:rPr>
        <w:t>standard</w:t>
      </w:r>
      <w:r w:rsidRPr="004565F6">
        <w:rPr>
          <w:lang w:val="en-US" w:eastAsia="en-US"/>
        </w:rPr>
        <w:t xml:space="preserve"> and </w:t>
      </w:r>
      <w:r w:rsidRPr="00C277EF">
        <w:rPr>
          <w:lang w:val="en-US" w:eastAsia="en-US"/>
        </w:rPr>
        <w:t>inulin added</w:t>
      </w:r>
      <w:r>
        <w:rPr>
          <w:lang w:val="en-US" w:eastAsia="en-US"/>
        </w:rPr>
        <w:t xml:space="preserve">. </w:t>
      </w:r>
    </w:p>
    <w:p w:rsidR="00E04078" w:rsidRDefault="00E04078"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9F5853" w:rsidRDefault="009F5853" w:rsidP="00FF4070">
      <w:pPr>
        <w:spacing w:line="360" w:lineRule="auto"/>
        <w:ind w:firstLine="708"/>
        <w:jc w:val="both"/>
        <w:rPr>
          <w:lang w:val="en-US" w:eastAsia="en-US"/>
        </w:rPr>
      </w:pPr>
    </w:p>
    <w:p w:rsidR="00282D95" w:rsidRPr="00A56F4D" w:rsidRDefault="00282D95" w:rsidP="00FF4070">
      <w:pPr>
        <w:pStyle w:val="NormalWeb"/>
        <w:tabs>
          <w:tab w:val="left" w:pos="2410"/>
          <w:tab w:val="left" w:pos="2694"/>
          <w:tab w:val="left" w:pos="5670"/>
          <w:tab w:val="left" w:pos="6096"/>
          <w:tab w:val="left" w:pos="6379"/>
        </w:tabs>
        <w:spacing w:before="0" w:beforeAutospacing="0" w:after="0" w:afterAutospacing="0" w:line="360" w:lineRule="auto"/>
        <w:jc w:val="center"/>
        <w:rPr>
          <w:b/>
          <w:bCs/>
          <w:noProof/>
          <w:sz w:val="24"/>
          <w:szCs w:val="24"/>
        </w:rPr>
      </w:pPr>
      <w:r>
        <w:rPr>
          <w:b/>
          <w:noProof/>
          <w:color w:val="FF0000"/>
          <w:sz w:val="24"/>
          <w:szCs w:val="24"/>
        </w:rPr>
        <w:lastRenderedPageBreak/>
        <w:drawing>
          <wp:inline distT="0" distB="0" distL="0" distR="0">
            <wp:extent cx="2607945" cy="1506855"/>
            <wp:effectExtent l="0" t="0" r="0" b="0"/>
            <wp:docPr id="5"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82D95" w:rsidRDefault="00282D95" w:rsidP="00FF4070">
      <w:pPr>
        <w:pStyle w:val="NormalWeb"/>
        <w:tabs>
          <w:tab w:val="left" w:pos="2410"/>
          <w:tab w:val="left" w:pos="2835"/>
          <w:tab w:val="left" w:pos="5529"/>
          <w:tab w:val="left" w:pos="6096"/>
          <w:tab w:val="left" w:pos="6379"/>
        </w:tabs>
        <w:spacing w:before="0" w:beforeAutospacing="0" w:after="0" w:afterAutospacing="0" w:line="360" w:lineRule="auto"/>
        <w:jc w:val="center"/>
        <w:rPr>
          <w:b/>
          <w:bCs/>
          <w:noProof/>
          <w:sz w:val="24"/>
          <w:szCs w:val="24"/>
        </w:rPr>
      </w:pPr>
      <w:r>
        <w:rPr>
          <w:b/>
          <w:noProof/>
          <w:sz w:val="24"/>
          <w:szCs w:val="24"/>
        </w:rPr>
        <w:drawing>
          <wp:inline distT="0" distB="0" distL="0" distR="0">
            <wp:extent cx="2569210" cy="1468120"/>
            <wp:effectExtent l="0" t="0" r="0" b="0"/>
            <wp:docPr id="4"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b/>
          <w:noProof/>
          <w:sz w:val="24"/>
          <w:szCs w:val="24"/>
        </w:rPr>
        <w:drawing>
          <wp:inline distT="0" distB="0" distL="0" distR="0">
            <wp:extent cx="2633980" cy="1500505"/>
            <wp:effectExtent l="0" t="0" r="0" b="0"/>
            <wp:docPr id="3" name="Gráfico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82D95" w:rsidRPr="008716A0" w:rsidRDefault="00282D95" w:rsidP="00FF4070">
      <w:pPr>
        <w:pStyle w:val="NormalWeb"/>
        <w:tabs>
          <w:tab w:val="left" w:pos="851"/>
          <w:tab w:val="left" w:pos="2410"/>
          <w:tab w:val="left" w:pos="2552"/>
          <w:tab w:val="left" w:pos="2835"/>
          <w:tab w:val="left" w:pos="3544"/>
          <w:tab w:val="left" w:pos="4962"/>
          <w:tab w:val="left" w:pos="5670"/>
          <w:tab w:val="left" w:pos="5954"/>
          <w:tab w:val="left" w:pos="6096"/>
          <w:tab w:val="left" w:pos="6379"/>
          <w:tab w:val="left" w:pos="7655"/>
        </w:tabs>
        <w:spacing w:before="0" w:beforeAutospacing="0" w:after="0" w:afterAutospacing="0" w:line="360" w:lineRule="auto"/>
        <w:ind w:left="-142"/>
        <w:jc w:val="center"/>
        <w:rPr>
          <w:b/>
          <w:bCs/>
          <w:color w:val="FF0000"/>
          <w:sz w:val="24"/>
          <w:szCs w:val="24"/>
          <w:lang w:val="en-US"/>
        </w:rPr>
      </w:pPr>
      <w:r>
        <w:rPr>
          <w:b/>
          <w:noProof/>
          <w:color w:val="FF0000"/>
          <w:sz w:val="24"/>
          <w:szCs w:val="24"/>
        </w:rPr>
        <w:drawing>
          <wp:inline distT="0" distB="0" distL="0" distR="0">
            <wp:extent cx="2653030" cy="1435735"/>
            <wp:effectExtent l="0" t="0" r="0" b="0"/>
            <wp:docPr id="2" name="Grá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8716A0">
        <w:rPr>
          <w:b/>
          <w:bCs/>
          <w:color w:val="FF0000"/>
          <w:sz w:val="24"/>
          <w:szCs w:val="24"/>
          <w:lang w:val="en-US"/>
        </w:rPr>
        <w:t xml:space="preserve">  </w:t>
      </w:r>
      <w:r>
        <w:rPr>
          <w:b/>
          <w:noProof/>
          <w:color w:val="FF0000"/>
          <w:sz w:val="24"/>
          <w:szCs w:val="24"/>
        </w:rPr>
        <w:drawing>
          <wp:inline distT="0" distB="0" distL="0" distR="0">
            <wp:extent cx="2743200" cy="1500505"/>
            <wp:effectExtent l="0" t="0" r="0" b="0"/>
            <wp:docPr id="1" name="Gráfico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04078" w:rsidRDefault="00E04078" w:rsidP="00FF4070">
      <w:pPr>
        <w:spacing w:line="360" w:lineRule="auto"/>
        <w:jc w:val="both"/>
        <w:rPr>
          <w:b/>
          <w:lang w:val="en-US" w:eastAsia="en-US"/>
        </w:rPr>
      </w:pPr>
    </w:p>
    <w:p w:rsidR="00282D95" w:rsidRPr="004C272C" w:rsidRDefault="00282D95" w:rsidP="00FF4070">
      <w:pPr>
        <w:spacing w:line="360" w:lineRule="auto"/>
        <w:jc w:val="both"/>
        <w:rPr>
          <w:lang w:val="en-US"/>
        </w:rPr>
      </w:pPr>
      <w:r>
        <w:rPr>
          <w:b/>
          <w:lang w:val="en-US" w:eastAsia="en-US"/>
        </w:rPr>
        <w:t xml:space="preserve">Figure </w:t>
      </w:r>
      <w:r w:rsidRPr="004C272C">
        <w:rPr>
          <w:b/>
          <w:lang w:val="en-US" w:eastAsia="en-US"/>
        </w:rPr>
        <w:t>1.</w:t>
      </w:r>
      <w:r>
        <w:rPr>
          <w:lang w:val="en-US" w:eastAsia="en-US"/>
        </w:rPr>
        <w:t xml:space="preserve"> Distribution of judges by hedonic values ​​obtained in the evaluation of the attributes appearance, aroma, taste, texture and color of </w:t>
      </w:r>
      <w:r w:rsidRPr="00453FE5">
        <w:rPr>
          <w:lang w:val="en-US" w:eastAsia="en-US"/>
        </w:rPr>
        <w:t xml:space="preserve">flavored pineapple bread formulations </w:t>
      </w:r>
      <w:r>
        <w:rPr>
          <w:lang w:val="en-US" w:eastAsia="en-US"/>
        </w:rPr>
        <w:t>standard and enriched with 20, 25, 30 and 35% inulin</w:t>
      </w:r>
      <w:r w:rsidRPr="004C272C">
        <w:rPr>
          <w:lang w:val="en-US"/>
        </w:rPr>
        <w:t>.</w:t>
      </w:r>
    </w:p>
    <w:p w:rsidR="00282D95" w:rsidRDefault="00282D95" w:rsidP="00FF4070">
      <w:pPr>
        <w:spacing w:line="360" w:lineRule="auto"/>
        <w:rPr>
          <w:lang w:val="en-US"/>
        </w:rPr>
      </w:pPr>
    </w:p>
    <w:p w:rsidR="00977249" w:rsidRDefault="00FF22D9" w:rsidP="00FF4070">
      <w:pPr>
        <w:spacing w:line="360" w:lineRule="auto"/>
        <w:ind w:firstLine="708"/>
        <w:jc w:val="both"/>
        <w:rPr>
          <w:lang w:val="en-US" w:eastAsia="en-US"/>
        </w:rPr>
      </w:pPr>
      <w:r>
        <w:rPr>
          <w:lang w:val="en-US" w:eastAsia="en-US"/>
        </w:rPr>
        <w:t xml:space="preserve">In general, </w:t>
      </w:r>
      <w:r w:rsidR="00977249">
        <w:rPr>
          <w:lang w:val="en-US" w:eastAsia="en-US"/>
        </w:rPr>
        <w:t>scores</w:t>
      </w:r>
      <w:r w:rsidR="00977249" w:rsidRPr="004565F6">
        <w:rPr>
          <w:lang w:val="en-US" w:eastAsia="en-US"/>
        </w:rPr>
        <w:t xml:space="preserve"> 6 (very good) and 7 (</w:t>
      </w:r>
      <w:r w:rsidR="00977249">
        <w:rPr>
          <w:lang w:val="en-US" w:eastAsia="en-US"/>
        </w:rPr>
        <w:t>super g</w:t>
      </w:r>
      <w:r w:rsidR="00977249" w:rsidRPr="004565F6">
        <w:rPr>
          <w:lang w:val="en-US" w:eastAsia="en-US"/>
        </w:rPr>
        <w:t>ood) were the most frequ</w:t>
      </w:r>
      <w:r w:rsidR="00977249">
        <w:rPr>
          <w:lang w:val="en-US" w:eastAsia="en-US"/>
        </w:rPr>
        <w:t xml:space="preserve">ently mentioned by the judges, showing that the </w:t>
      </w:r>
      <w:r w:rsidR="00977249" w:rsidRPr="004565F6">
        <w:rPr>
          <w:lang w:val="en-US" w:eastAsia="en-US"/>
        </w:rPr>
        <w:t>inulin</w:t>
      </w:r>
      <w:r w:rsidR="00977249">
        <w:rPr>
          <w:lang w:val="en-US" w:eastAsia="en-US"/>
        </w:rPr>
        <w:t xml:space="preserve"> addition </w:t>
      </w:r>
      <w:r w:rsidR="00977249" w:rsidRPr="004565F6">
        <w:rPr>
          <w:lang w:val="en-US" w:eastAsia="en-US"/>
        </w:rPr>
        <w:t>on bread was well accepted by children, results that were confirmed by assessin</w:t>
      </w:r>
      <w:r w:rsidR="00977249">
        <w:rPr>
          <w:lang w:val="en-US" w:eastAsia="en-US"/>
        </w:rPr>
        <w:t xml:space="preserve">g the acceptability index of </w:t>
      </w:r>
      <w:r w:rsidR="00977249" w:rsidRPr="004565F6">
        <w:rPr>
          <w:lang w:val="en-US" w:eastAsia="en-US"/>
        </w:rPr>
        <w:t xml:space="preserve"> formulations which is shown in Figure 2.</w:t>
      </w:r>
    </w:p>
    <w:p w:rsidR="00E04078" w:rsidRPr="004565F6" w:rsidRDefault="00E04078" w:rsidP="00FF4070">
      <w:pPr>
        <w:spacing w:line="360" w:lineRule="auto"/>
        <w:ind w:firstLine="708"/>
        <w:jc w:val="both"/>
        <w:rPr>
          <w:lang w:val="en-US" w:eastAsia="en-US"/>
        </w:rPr>
      </w:pPr>
    </w:p>
    <w:p w:rsidR="00FF4070" w:rsidRDefault="00FF4070" w:rsidP="00FF4070">
      <w:pPr>
        <w:spacing w:line="360" w:lineRule="auto"/>
        <w:jc w:val="center"/>
        <w:rPr>
          <w:b/>
          <w:bCs/>
          <w:noProof/>
        </w:rPr>
      </w:pPr>
      <w:r w:rsidRPr="001E77B5">
        <w:rPr>
          <w:b/>
          <w:bCs/>
          <w:noProof/>
        </w:rPr>
        <w:lastRenderedPageBreak/>
        <w:drawing>
          <wp:inline distT="0" distB="0" distL="0" distR="0">
            <wp:extent cx="4153647" cy="2294965"/>
            <wp:effectExtent l="0" t="0" r="0" b="0"/>
            <wp:docPr id="7"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5853" w:rsidRDefault="009F5853" w:rsidP="00FF4070">
      <w:pPr>
        <w:spacing w:line="360" w:lineRule="auto"/>
        <w:jc w:val="both"/>
        <w:rPr>
          <w:b/>
          <w:lang w:val="en-US" w:eastAsia="en-US"/>
        </w:rPr>
      </w:pPr>
    </w:p>
    <w:p w:rsidR="00FF4070" w:rsidRDefault="00FF4070" w:rsidP="00FF4070">
      <w:pPr>
        <w:spacing w:line="360" w:lineRule="auto"/>
        <w:jc w:val="both"/>
        <w:rPr>
          <w:color w:val="000000"/>
          <w:lang w:val="en-US"/>
        </w:rPr>
      </w:pPr>
      <w:r w:rsidRPr="004C272C">
        <w:rPr>
          <w:b/>
          <w:lang w:val="en-US" w:eastAsia="en-US"/>
        </w:rPr>
        <w:t>Figure 2</w:t>
      </w:r>
      <w:r>
        <w:rPr>
          <w:lang w:val="en-US" w:eastAsia="en-US"/>
        </w:rPr>
        <w:t xml:space="preserve">. Acceptability index of formulations </w:t>
      </w:r>
      <w:r w:rsidRPr="00453FE5">
        <w:rPr>
          <w:lang w:val="en-US" w:eastAsia="en-US"/>
        </w:rPr>
        <w:t xml:space="preserve">flavored pineapple bread </w:t>
      </w:r>
      <w:r>
        <w:rPr>
          <w:lang w:val="en-US" w:eastAsia="en-US"/>
        </w:rPr>
        <w:t>standard and enriched with 20, 25, 30 and 35% inulin, relative to the evaluated attributes</w:t>
      </w:r>
      <w:r w:rsidRPr="004C272C">
        <w:rPr>
          <w:color w:val="000000"/>
          <w:lang w:val="en-US"/>
        </w:rPr>
        <w:t>.</w:t>
      </w:r>
    </w:p>
    <w:p w:rsidR="00FF4070" w:rsidRPr="004C272C" w:rsidRDefault="00FF4070" w:rsidP="00FF4070">
      <w:pPr>
        <w:spacing w:line="360" w:lineRule="auto"/>
        <w:jc w:val="both"/>
        <w:rPr>
          <w:color w:val="000000"/>
          <w:lang w:val="en-US"/>
        </w:rPr>
      </w:pPr>
    </w:p>
    <w:p w:rsidR="00977249" w:rsidRPr="004565F6" w:rsidRDefault="00977249" w:rsidP="00FF4070">
      <w:pPr>
        <w:spacing w:line="360" w:lineRule="auto"/>
        <w:ind w:firstLine="708"/>
        <w:jc w:val="both"/>
        <w:rPr>
          <w:lang w:val="en-US" w:eastAsia="en-US"/>
        </w:rPr>
      </w:pPr>
      <w:r>
        <w:rPr>
          <w:lang w:val="en-US" w:eastAsia="en-US"/>
        </w:rPr>
        <w:t>All samples showed IA</w:t>
      </w:r>
      <w:r w:rsidRPr="004565F6">
        <w:rPr>
          <w:lang w:val="en-US" w:eastAsia="en-US"/>
        </w:rPr>
        <w:t xml:space="preserve"> above 70% (Figure 2), which considers the products with good sensory acceptability, accor</w:t>
      </w:r>
      <w:r w:rsidR="00A84E63">
        <w:rPr>
          <w:lang w:val="en-US" w:eastAsia="en-US"/>
        </w:rPr>
        <w:t>ding to Teixeira</w:t>
      </w:r>
      <w:r w:rsidRPr="004565F6">
        <w:rPr>
          <w:lang w:val="en-US" w:eastAsia="en-US"/>
        </w:rPr>
        <w:t xml:space="preserve"> </w:t>
      </w:r>
      <w:r w:rsidR="00A84E63">
        <w:rPr>
          <w:lang w:val="en-US" w:eastAsia="en-US"/>
        </w:rPr>
        <w:t>et al.</w:t>
      </w:r>
      <w:r w:rsidR="00A84E63" w:rsidRPr="009D41CB">
        <w:rPr>
          <w:lang w:val="en-US" w:eastAsia="en-US"/>
        </w:rPr>
        <w:t xml:space="preserve"> </w:t>
      </w:r>
      <w:r w:rsidRPr="004565F6">
        <w:rPr>
          <w:lang w:val="en-US" w:eastAsia="en-US"/>
        </w:rPr>
        <w:t>(1987)</w:t>
      </w:r>
      <w:r w:rsidRPr="004326BC">
        <w:rPr>
          <w:lang w:val="en-US" w:eastAsia="en-US"/>
        </w:rPr>
        <w:t xml:space="preserve"> </w:t>
      </w:r>
      <w:r w:rsidRPr="004565F6">
        <w:rPr>
          <w:lang w:val="en-US" w:eastAsia="en-US"/>
        </w:rPr>
        <w:t>explains.</w:t>
      </w:r>
    </w:p>
    <w:p w:rsidR="00977249" w:rsidRDefault="00977249" w:rsidP="00FF4070">
      <w:pPr>
        <w:spacing w:line="360" w:lineRule="auto"/>
        <w:ind w:firstLine="708"/>
        <w:jc w:val="both"/>
        <w:rPr>
          <w:lang w:val="en-US" w:eastAsia="en-US"/>
        </w:rPr>
      </w:pPr>
      <w:r w:rsidRPr="004565F6">
        <w:rPr>
          <w:lang w:val="en-US" w:eastAsia="en-US"/>
        </w:rPr>
        <w:t>According Alamanou et al. (1996)</w:t>
      </w:r>
      <w:r>
        <w:rPr>
          <w:lang w:val="en-US" w:eastAsia="en-US"/>
        </w:rPr>
        <w:t xml:space="preserve"> attributes like aroma and taste </w:t>
      </w:r>
      <w:r w:rsidRPr="004565F6">
        <w:rPr>
          <w:lang w:val="en-US" w:eastAsia="en-US"/>
        </w:rPr>
        <w:t>are</w:t>
      </w:r>
      <w:r>
        <w:rPr>
          <w:lang w:val="en-US" w:eastAsia="en-US"/>
        </w:rPr>
        <w:t xml:space="preserve"> the most</w:t>
      </w:r>
      <w:r w:rsidRPr="004565F6">
        <w:rPr>
          <w:lang w:val="en-US" w:eastAsia="en-US"/>
        </w:rPr>
        <w:t xml:space="preserve"> imp</w:t>
      </w:r>
      <w:r>
        <w:rPr>
          <w:lang w:val="en-US" w:eastAsia="en-US"/>
        </w:rPr>
        <w:t xml:space="preserve">ortant characteristics which influence the sensory properties of food </w:t>
      </w:r>
      <w:r w:rsidRPr="004565F6">
        <w:rPr>
          <w:lang w:val="en-US" w:eastAsia="en-US"/>
        </w:rPr>
        <w:t xml:space="preserve">products </w:t>
      </w:r>
      <w:r>
        <w:rPr>
          <w:lang w:val="en-US" w:eastAsia="en-US"/>
        </w:rPr>
        <w:t xml:space="preserve">added with different </w:t>
      </w:r>
      <w:r w:rsidRPr="004565F6">
        <w:rPr>
          <w:lang w:val="en-US" w:eastAsia="en-US"/>
        </w:rPr>
        <w:t>ingredients. As a result, the sample F4 (30% inulin) was selected f</w:t>
      </w:r>
      <w:r>
        <w:rPr>
          <w:lang w:val="en-US" w:eastAsia="en-US"/>
        </w:rPr>
        <w:t>or comparison purposes,</w:t>
      </w:r>
      <w:r w:rsidRPr="004565F6">
        <w:rPr>
          <w:lang w:val="en-US" w:eastAsia="en-US"/>
        </w:rPr>
        <w:t xml:space="preserve"> with the pattern (F1), </w:t>
      </w:r>
      <w:r>
        <w:rPr>
          <w:lang w:val="en-US" w:eastAsia="en-US"/>
        </w:rPr>
        <w:t xml:space="preserve">for </w:t>
      </w:r>
      <w:r w:rsidRPr="004565F6">
        <w:rPr>
          <w:lang w:val="en-US" w:eastAsia="en-US"/>
        </w:rPr>
        <w:t>being the one with the highest content of inulin and</w:t>
      </w:r>
      <w:r>
        <w:rPr>
          <w:lang w:val="en-US" w:eastAsia="en-US"/>
        </w:rPr>
        <w:t xml:space="preserve"> </w:t>
      </w:r>
      <w:r w:rsidRPr="004565F6">
        <w:rPr>
          <w:lang w:val="en-US" w:eastAsia="en-US"/>
        </w:rPr>
        <w:t>similar acceptance to the standard (</w:t>
      </w:r>
      <w:r>
        <w:rPr>
          <w:lang w:val="en-US" w:eastAsia="en-US"/>
        </w:rPr>
        <w:t>taste</w:t>
      </w:r>
      <w:r w:rsidRPr="004565F6">
        <w:rPr>
          <w:lang w:val="en-US" w:eastAsia="en-US"/>
        </w:rPr>
        <w:t xml:space="preserve"> attribute).</w:t>
      </w:r>
    </w:p>
    <w:p w:rsidR="00977249" w:rsidRDefault="00977249" w:rsidP="00FF4070">
      <w:pPr>
        <w:spacing w:line="360" w:lineRule="auto"/>
        <w:ind w:firstLine="708"/>
        <w:jc w:val="both"/>
        <w:rPr>
          <w:lang w:val="en-US" w:eastAsia="en-US"/>
        </w:rPr>
      </w:pPr>
    </w:p>
    <w:p w:rsidR="00977249" w:rsidRDefault="00977249" w:rsidP="00FF4070">
      <w:pPr>
        <w:spacing w:line="360" w:lineRule="auto"/>
        <w:jc w:val="both"/>
        <w:rPr>
          <w:b/>
          <w:bCs/>
          <w:iCs/>
          <w:lang w:val="en-US" w:eastAsia="en-US"/>
        </w:rPr>
      </w:pPr>
      <w:r w:rsidRPr="004C1E35">
        <w:rPr>
          <w:b/>
          <w:bCs/>
          <w:iCs/>
          <w:lang w:val="en-US" w:eastAsia="en-US"/>
        </w:rPr>
        <w:t>Physico-chemical analyzes</w:t>
      </w:r>
    </w:p>
    <w:p w:rsidR="00E04078" w:rsidRPr="004C1E35" w:rsidRDefault="00E04078" w:rsidP="00FF4070">
      <w:pPr>
        <w:spacing w:line="360" w:lineRule="auto"/>
        <w:jc w:val="both"/>
        <w:rPr>
          <w:b/>
          <w:bCs/>
          <w:iCs/>
          <w:lang w:val="en-US" w:eastAsia="en-US"/>
        </w:rPr>
      </w:pPr>
    </w:p>
    <w:p w:rsidR="00977249" w:rsidRDefault="00977249" w:rsidP="00571A63">
      <w:pPr>
        <w:spacing w:line="360" w:lineRule="auto"/>
        <w:ind w:firstLine="708"/>
        <w:jc w:val="both"/>
        <w:rPr>
          <w:lang w:val="en-US" w:eastAsia="en-US"/>
        </w:rPr>
      </w:pPr>
      <w:r>
        <w:rPr>
          <w:lang w:val="en-US" w:eastAsia="en-US"/>
        </w:rPr>
        <w:t>In Chart</w:t>
      </w:r>
      <w:r w:rsidRPr="004565F6">
        <w:rPr>
          <w:lang w:val="en-US" w:eastAsia="en-US"/>
        </w:rPr>
        <w:t xml:space="preserve"> </w:t>
      </w:r>
      <w:r w:rsidR="00233A4A">
        <w:rPr>
          <w:lang w:val="en-US" w:eastAsia="en-US"/>
        </w:rPr>
        <w:t>3</w:t>
      </w:r>
      <w:r w:rsidRPr="004565F6">
        <w:rPr>
          <w:lang w:val="en-US" w:eastAsia="en-US"/>
        </w:rPr>
        <w:t xml:space="preserve"> </w:t>
      </w:r>
      <w:r>
        <w:rPr>
          <w:lang w:val="en-US" w:eastAsia="en-US"/>
        </w:rPr>
        <w:t xml:space="preserve">it is possible to verify the </w:t>
      </w:r>
      <w:r w:rsidRPr="002D3667">
        <w:rPr>
          <w:lang w:val="en-US" w:eastAsia="en-US"/>
        </w:rPr>
        <w:t>physico</w:t>
      </w:r>
      <w:r>
        <w:rPr>
          <w:lang w:val="en-US" w:eastAsia="en-US"/>
        </w:rPr>
        <w:t>-</w:t>
      </w:r>
      <w:r w:rsidRPr="002D3667">
        <w:rPr>
          <w:lang w:val="en-US" w:eastAsia="en-US"/>
        </w:rPr>
        <w:t>chemical</w:t>
      </w:r>
      <w:r w:rsidRPr="004565F6">
        <w:rPr>
          <w:lang w:val="en-US" w:eastAsia="en-US"/>
        </w:rPr>
        <w:t xml:space="preserve"> composition a</w:t>
      </w:r>
      <w:r>
        <w:rPr>
          <w:lang w:val="en-US" w:eastAsia="en-US"/>
        </w:rPr>
        <w:t>nd Reference Daily Value ​​(DV</w:t>
      </w:r>
      <w:r w:rsidRPr="004565F6">
        <w:rPr>
          <w:lang w:val="en-US" w:eastAsia="en-US"/>
        </w:rPr>
        <w:t>) of flavored pineapple</w:t>
      </w:r>
      <w:r>
        <w:rPr>
          <w:lang w:val="en-US" w:eastAsia="en-US"/>
        </w:rPr>
        <w:t xml:space="preserve"> </w:t>
      </w:r>
      <w:r w:rsidRPr="004565F6">
        <w:rPr>
          <w:lang w:val="en-US" w:eastAsia="en-US"/>
        </w:rPr>
        <w:t>bread</w:t>
      </w:r>
      <w:r>
        <w:rPr>
          <w:lang w:val="en-US" w:eastAsia="en-US"/>
        </w:rPr>
        <w:t xml:space="preserve"> </w:t>
      </w:r>
      <w:r w:rsidRPr="004565F6">
        <w:rPr>
          <w:lang w:val="en-US" w:eastAsia="en-US"/>
        </w:rPr>
        <w:t xml:space="preserve">standard and </w:t>
      </w:r>
      <w:r>
        <w:rPr>
          <w:lang w:val="en-US" w:eastAsia="en-US"/>
        </w:rPr>
        <w:t>added with</w:t>
      </w:r>
      <w:r w:rsidRPr="004565F6">
        <w:rPr>
          <w:lang w:val="en-US" w:eastAsia="en-US"/>
        </w:rPr>
        <w:t xml:space="preserve"> 30% inulin, compared to a reference product.</w:t>
      </w:r>
    </w:p>
    <w:p w:rsidR="00F93A20" w:rsidRDefault="00F93A20"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9F5853" w:rsidRDefault="009F5853" w:rsidP="00571A63">
      <w:pPr>
        <w:spacing w:line="360" w:lineRule="auto"/>
        <w:ind w:firstLine="708"/>
        <w:jc w:val="both"/>
        <w:rPr>
          <w:lang w:val="en-US" w:eastAsia="en-US"/>
        </w:rPr>
      </w:pPr>
    </w:p>
    <w:p w:rsidR="000940B2" w:rsidRDefault="000940B2" w:rsidP="00B924E1">
      <w:pPr>
        <w:spacing w:line="360" w:lineRule="auto"/>
        <w:jc w:val="both"/>
        <w:rPr>
          <w:lang w:val="en-US" w:eastAsia="en-US"/>
        </w:rPr>
      </w:pPr>
      <w:r w:rsidRPr="004C272C">
        <w:rPr>
          <w:b/>
          <w:lang w:val="en-US" w:eastAsia="en-US"/>
        </w:rPr>
        <w:lastRenderedPageBreak/>
        <w:t xml:space="preserve">Chart </w:t>
      </w:r>
      <w:r>
        <w:rPr>
          <w:b/>
          <w:lang w:val="en-US" w:eastAsia="en-US"/>
        </w:rPr>
        <w:t>3</w:t>
      </w:r>
      <w:r w:rsidRPr="004C272C">
        <w:rPr>
          <w:b/>
          <w:lang w:val="en-US" w:eastAsia="en-US"/>
        </w:rPr>
        <w:t>.</w:t>
      </w:r>
      <w:r w:rsidRPr="004C272C">
        <w:rPr>
          <w:lang w:val="en-US" w:eastAsia="en-US"/>
        </w:rPr>
        <w:t xml:space="preserve"> Physico-chemical composition and</w:t>
      </w:r>
      <w:r>
        <w:rPr>
          <w:lang w:val="en-US" w:eastAsia="en-US"/>
        </w:rPr>
        <w:t xml:space="preserve"> </w:t>
      </w:r>
      <w:r w:rsidRPr="00453FE5">
        <w:rPr>
          <w:lang w:val="en-US" w:eastAsia="en-US"/>
        </w:rPr>
        <w:t>Reference Daily Value ​​- DV * (</w:t>
      </w:r>
      <w:r w:rsidRPr="004C272C">
        <w:rPr>
          <w:lang w:val="en-US" w:eastAsia="en-US"/>
        </w:rPr>
        <w:t>50 grams middle portion) of standard bread (F1) and added to 30% inulin (F4), compared with the reference product **</w:t>
      </w:r>
    </w:p>
    <w:p w:rsidR="00E04078" w:rsidRPr="004C272C" w:rsidRDefault="00E04078" w:rsidP="00B924E1">
      <w:pPr>
        <w:spacing w:line="360" w:lineRule="auto"/>
        <w:jc w:val="both"/>
        <w:rPr>
          <w:b/>
          <w:bCs/>
          <w:color w:val="FF0000"/>
          <w:lang w:val="en-US"/>
        </w:rPr>
      </w:pPr>
    </w:p>
    <w:tbl>
      <w:tblPr>
        <w:tblW w:w="9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77"/>
        <w:gridCol w:w="1667"/>
        <w:gridCol w:w="1145"/>
        <w:gridCol w:w="1549"/>
        <w:gridCol w:w="1134"/>
        <w:gridCol w:w="1260"/>
      </w:tblGrid>
      <w:tr w:rsidR="000940B2" w:rsidRPr="004A5591" w:rsidTr="007C6E5D">
        <w:tc>
          <w:tcPr>
            <w:tcW w:w="2977" w:type="dxa"/>
            <w:vMerge w:val="restart"/>
            <w:tcBorders>
              <w:top w:val="single" w:sz="4" w:space="0" w:color="auto"/>
              <w:left w:val="nil"/>
              <w:bottom w:val="nil"/>
              <w:right w:val="nil"/>
            </w:tcBorders>
            <w:vAlign w:val="center"/>
          </w:tcPr>
          <w:p w:rsidR="000940B2" w:rsidRPr="00B474B4" w:rsidRDefault="00F93A20" w:rsidP="00B924E1">
            <w:pPr>
              <w:spacing w:line="360" w:lineRule="auto"/>
              <w:rPr>
                <w:b/>
                <w:bCs/>
                <w:lang w:val="en-US"/>
              </w:rPr>
            </w:pPr>
            <w:r>
              <w:rPr>
                <w:b/>
                <w:bCs/>
                <w:sz w:val="22"/>
                <w:szCs w:val="22"/>
                <w:lang w:val="en-US"/>
              </w:rPr>
              <w:t>Evaluation</w:t>
            </w:r>
          </w:p>
        </w:tc>
        <w:tc>
          <w:tcPr>
            <w:tcW w:w="2812" w:type="dxa"/>
            <w:gridSpan w:val="2"/>
            <w:tcBorders>
              <w:top w:val="single" w:sz="4" w:space="0" w:color="auto"/>
              <w:left w:val="nil"/>
              <w:bottom w:val="nil"/>
              <w:right w:val="nil"/>
            </w:tcBorders>
            <w:vAlign w:val="center"/>
          </w:tcPr>
          <w:p w:rsidR="000940B2" w:rsidRPr="00B474B4" w:rsidRDefault="000940B2" w:rsidP="00B924E1">
            <w:pPr>
              <w:spacing w:line="360" w:lineRule="auto"/>
              <w:jc w:val="center"/>
              <w:rPr>
                <w:b/>
                <w:bCs/>
                <w:lang w:val="en-US"/>
              </w:rPr>
            </w:pPr>
            <w:r w:rsidRPr="00B474B4">
              <w:rPr>
                <w:b/>
                <w:bCs/>
                <w:sz w:val="22"/>
                <w:szCs w:val="22"/>
                <w:lang w:val="en-US"/>
              </w:rPr>
              <w:t>F1</w:t>
            </w:r>
          </w:p>
        </w:tc>
        <w:tc>
          <w:tcPr>
            <w:tcW w:w="2683" w:type="dxa"/>
            <w:gridSpan w:val="2"/>
            <w:tcBorders>
              <w:top w:val="single" w:sz="4" w:space="0" w:color="auto"/>
              <w:left w:val="nil"/>
              <w:bottom w:val="nil"/>
              <w:right w:val="nil"/>
            </w:tcBorders>
            <w:vAlign w:val="center"/>
          </w:tcPr>
          <w:p w:rsidR="000940B2" w:rsidRPr="00B474B4" w:rsidRDefault="000940B2" w:rsidP="00B924E1">
            <w:pPr>
              <w:spacing w:line="360" w:lineRule="auto"/>
              <w:jc w:val="center"/>
              <w:rPr>
                <w:b/>
                <w:bCs/>
                <w:lang w:val="en-US"/>
              </w:rPr>
            </w:pPr>
            <w:r w:rsidRPr="00B474B4">
              <w:rPr>
                <w:b/>
                <w:bCs/>
                <w:sz w:val="22"/>
                <w:szCs w:val="22"/>
                <w:lang w:val="en-US"/>
              </w:rPr>
              <w:t>F4</w:t>
            </w:r>
          </w:p>
        </w:tc>
        <w:tc>
          <w:tcPr>
            <w:tcW w:w="1260" w:type="dxa"/>
            <w:vMerge w:val="restart"/>
            <w:tcBorders>
              <w:top w:val="single" w:sz="4" w:space="0" w:color="auto"/>
              <w:left w:val="nil"/>
              <w:bottom w:val="nil"/>
              <w:right w:val="nil"/>
            </w:tcBorders>
            <w:vAlign w:val="center"/>
          </w:tcPr>
          <w:p w:rsidR="000940B2" w:rsidRPr="00B474B4" w:rsidRDefault="000940B2" w:rsidP="00B924E1">
            <w:pPr>
              <w:spacing w:line="360" w:lineRule="auto"/>
              <w:ind w:left="-108" w:right="-108"/>
              <w:jc w:val="center"/>
              <w:rPr>
                <w:b/>
                <w:bCs/>
                <w:lang w:val="en-US"/>
              </w:rPr>
            </w:pPr>
            <w:r w:rsidRPr="00B474B4">
              <w:rPr>
                <w:b/>
                <w:bCs/>
                <w:sz w:val="22"/>
                <w:szCs w:val="22"/>
                <w:lang w:val="en-US"/>
              </w:rPr>
              <w:t>Reference**</w:t>
            </w:r>
          </w:p>
        </w:tc>
      </w:tr>
      <w:tr w:rsidR="000940B2" w:rsidRPr="004A5591" w:rsidTr="007C6E5D">
        <w:tc>
          <w:tcPr>
            <w:tcW w:w="2977" w:type="dxa"/>
            <w:vMerge/>
            <w:tcBorders>
              <w:top w:val="nil"/>
              <w:left w:val="nil"/>
              <w:bottom w:val="single" w:sz="4" w:space="0" w:color="auto"/>
              <w:right w:val="nil"/>
            </w:tcBorders>
            <w:vAlign w:val="center"/>
          </w:tcPr>
          <w:p w:rsidR="000940B2" w:rsidRPr="00B474B4" w:rsidRDefault="000940B2" w:rsidP="00B924E1">
            <w:pPr>
              <w:spacing w:line="360" w:lineRule="auto"/>
              <w:rPr>
                <w:lang w:val="en-US"/>
              </w:rPr>
            </w:pPr>
          </w:p>
        </w:tc>
        <w:tc>
          <w:tcPr>
            <w:tcW w:w="1667" w:type="dxa"/>
            <w:tcBorders>
              <w:top w:val="nil"/>
              <w:left w:val="nil"/>
              <w:bottom w:val="single" w:sz="4" w:space="0" w:color="auto"/>
              <w:right w:val="nil"/>
            </w:tcBorders>
            <w:vAlign w:val="center"/>
          </w:tcPr>
          <w:p w:rsidR="000940B2" w:rsidRPr="00B474B4" w:rsidRDefault="000940B2" w:rsidP="00B924E1">
            <w:pPr>
              <w:spacing w:line="360" w:lineRule="auto"/>
              <w:jc w:val="center"/>
              <w:rPr>
                <w:lang w:val="en-US"/>
              </w:rPr>
            </w:pPr>
            <w:r w:rsidRPr="00B474B4">
              <w:rPr>
                <w:sz w:val="22"/>
                <w:szCs w:val="22"/>
                <w:lang w:val="en-US"/>
              </w:rPr>
              <w:t>Mean±SD</w:t>
            </w:r>
          </w:p>
        </w:tc>
        <w:tc>
          <w:tcPr>
            <w:tcW w:w="1145" w:type="dxa"/>
            <w:tcBorders>
              <w:top w:val="nil"/>
              <w:left w:val="nil"/>
              <w:bottom w:val="single" w:sz="4" w:space="0" w:color="auto"/>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DV (%)*</w:t>
            </w:r>
          </w:p>
        </w:tc>
        <w:tc>
          <w:tcPr>
            <w:tcW w:w="1549" w:type="dxa"/>
            <w:tcBorders>
              <w:top w:val="nil"/>
              <w:left w:val="nil"/>
              <w:bottom w:val="single" w:sz="4" w:space="0" w:color="auto"/>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Mean±SD</w:t>
            </w:r>
          </w:p>
        </w:tc>
        <w:tc>
          <w:tcPr>
            <w:tcW w:w="1134" w:type="dxa"/>
            <w:tcBorders>
              <w:top w:val="nil"/>
              <w:left w:val="nil"/>
              <w:bottom w:val="single" w:sz="4" w:space="0" w:color="auto"/>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DV (%)*</w:t>
            </w:r>
          </w:p>
        </w:tc>
        <w:tc>
          <w:tcPr>
            <w:tcW w:w="1260" w:type="dxa"/>
            <w:vMerge/>
            <w:tcBorders>
              <w:top w:val="nil"/>
              <w:left w:val="nil"/>
              <w:bottom w:val="single" w:sz="4" w:space="0" w:color="auto"/>
              <w:right w:val="nil"/>
            </w:tcBorders>
            <w:vAlign w:val="center"/>
          </w:tcPr>
          <w:p w:rsidR="000940B2" w:rsidRPr="00B474B4" w:rsidRDefault="000940B2" w:rsidP="00B924E1">
            <w:pPr>
              <w:spacing w:line="360" w:lineRule="auto"/>
              <w:jc w:val="center"/>
              <w:rPr>
                <w:lang w:val="en-US"/>
              </w:rPr>
            </w:pPr>
          </w:p>
        </w:tc>
      </w:tr>
      <w:tr w:rsidR="000940B2" w:rsidRPr="004A5591" w:rsidTr="007C6E5D">
        <w:tc>
          <w:tcPr>
            <w:tcW w:w="2977" w:type="dxa"/>
            <w:tcBorders>
              <w:top w:val="single" w:sz="4" w:space="0" w:color="auto"/>
              <w:left w:val="nil"/>
              <w:bottom w:val="nil"/>
              <w:right w:val="nil"/>
            </w:tcBorders>
            <w:vAlign w:val="center"/>
          </w:tcPr>
          <w:p w:rsidR="000940B2" w:rsidRPr="00B474B4" w:rsidRDefault="000940B2" w:rsidP="00B924E1">
            <w:pPr>
              <w:spacing w:line="360" w:lineRule="auto"/>
            </w:pPr>
            <w:r w:rsidRPr="00B474B4">
              <w:rPr>
                <w:sz w:val="22"/>
                <w:szCs w:val="22"/>
              </w:rPr>
              <w:t>Moisture (</w:t>
            </w:r>
            <w:r w:rsidRPr="00B474B4">
              <w:rPr>
                <w:color w:val="000000"/>
                <w:sz w:val="22"/>
                <w:szCs w:val="22"/>
              </w:rPr>
              <w:t>%</w:t>
            </w:r>
            <w:r w:rsidRPr="00B474B4">
              <w:rPr>
                <w:sz w:val="22"/>
                <w:szCs w:val="22"/>
              </w:rPr>
              <w:t>)</w:t>
            </w:r>
          </w:p>
        </w:tc>
        <w:tc>
          <w:tcPr>
            <w:tcW w:w="1667" w:type="dxa"/>
            <w:tcBorders>
              <w:top w:val="single" w:sz="4" w:space="0" w:color="auto"/>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33,24±0,00a</w:t>
            </w:r>
          </w:p>
        </w:tc>
        <w:tc>
          <w:tcPr>
            <w:tcW w:w="1145" w:type="dxa"/>
            <w:tcBorders>
              <w:top w:val="single" w:sz="4" w:space="0" w:color="auto"/>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ND</w:t>
            </w:r>
          </w:p>
        </w:tc>
        <w:tc>
          <w:tcPr>
            <w:tcW w:w="1549" w:type="dxa"/>
            <w:tcBorders>
              <w:top w:val="single" w:sz="4" w:space="0" w:color="auto"/>
              <w:left w:val="nil"/>
              <w:bottom w:val="nil"/>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24,51±0,04b</w:t>
            </w:r>
          </w:p>
        </w:tc>
        <w:tc>
          <w:tcPr>
            <w:tcW w:w="1134" w:type="dxa"/>
            <w:tcBorders>
              <w:top w:val="single" w:sz="4" w:space="0" w:color="auto"/>
              <w:left w:val="nil"/>
              <w:bottom w:val="nil"/>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ND</w:t>
            </w:r>
          </w:p>
        </w:tc>
        <w:tc>
          <w:tcPr>
            <w:tcW w:w="1260" w:type="dxa"/>
            <w:tcBorders>
              <w:top w:val="single" w:sz="4" w:space="0" w:color="auto"/>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25,80</w:t>
            </w:r>
          </w:p>
        </w:tc>
      </w:tr>
      <w:tr w:rsidR="000940B2" w:rsidRPr="004A5591" w:rsidTr="007C6E5D">
        <w:tc>
          <w:tcPr>
            <w:tcW w:w="2977" w:type="dxa"/>
            <w:tcBorders>
              <w:top w:val="nil"/>
              <w:left w:val="nil"/>
              <w:bottom w:val="nil"/>
              <w:right w:val="nil"/>
            </w:tcBorders>
            <w:vAlign w:val="center"/>
          </w:tcPr>
          <w:p w:rsidR="000940B2" w:rsidRPr="00B474B4" w:rsidRDefault="000940B2" w:rsidP="00B924E1">
            <w:pPr>
              <w:spacing w:line="360" w:lineRule="auto"/>
            </w:pPr>
            <w:r w:rsidRPr="00B474B4">
              <w:rPr>
                <w:sz w:val="22"/>
                <w:szCs w:val="22"/>
              </w:rPr>
              <w:t>Ash (</w:t>
            </w:r>
            <w:r w:rsidRPr="00B474B4">
              <w:rPr>
                <w:color w:val="000000"/>
                <w:sz w:val="22"/>
                <w:szCs w:val="22"/>
              </w:rPr>
              <w:t>g.100g</w:t>
            </w:r>
            <w:r w:rsidRPr="00B474B4">
              <w:rPr>
                <w:rStyle w:val="A8"/>
                <w:sz w:val="22"/>
                <w:szCs w:val="22"/>
                <w:vertAlign w:val="superscript"/>
                <w:lang w:val="en-US"/>
              </w:rPr>
              <w:t>–1</w:t>
            </w:r>
            <w:r w:rsidRPr="00B474B4">
              <w:rPr>
                <w:sz w:val="22"/>
                <w:szCs w:val="22"/>
              </w:rPr>
              <w:t>)***</w:t>
            </w:r>
          </w:p>
        </w:tc>
        <w:tc>
          <w:tcPr>
            <w:tcW w:w="1667"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0,56±0,02a</w:t>
            </w:r>
          </w:p>
        </w:tc>
        <w:tc>
          <w:tcPr>
            <w:tcW w:w="1145" w:type="dxa"/>
            <w:tcBorders>
              <w:top w:val="nil"/>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ND</w:t>
            </w:r>
          </w:p>
        </w:tc>
        <w:tc>
          <w:tcPr>
            <w:tcW w:w="1549" w:type="dxa"/>
            <w:tcBorders>
              <w:top w:val="nil"/>
              <w:left w:val="nil"/>
              <w:bottom w:val="nil"/>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0,50±0,01a</w:t>
            </w:r>
          </w:p>
        </w:tc>
        <w:tc>
          <w:tcPr>
            <w:tcW w:w="1134" w:type="dxa"/>
            <w:tcBorders>
              <w:top w:val="nil"/>
              <w:left w:val="nil"/>
              <w:bottom w:val="nil"/>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ND</w:t>
            </w:r>
          </w:p>
        </w:tc>
        <w:tc>
          <w:tcPr>
            <w:tcW w:w="1260"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1,50</w:t>
            </w:r>
          </w:p>
        </w:tc>
      </w:tr>
      <w:tr w:rsidR="000940B2" w:rsidRPr="004A5591" w:rsidTr="007C6E5D">
        <w:tc>
          <w:tcPr>
            <w:tcW w:w="2977" w:type="dxa"/>
            <w:tcBorders>
              <w:top w:val="nil"/>
              <w:left w:val="nil"/>
              <w:bottom w:val="nil"/>
              <w:right w:val="nil"/>
            </w:tcBorders>
            <w:vAlign w:val="center"/>
          </w:tcPr>
          <w:p w:rsidR="000940B2" w:rsidRPr="00B474B4" w:rsidRDefault="000940B2" w:rsidP="00B924E1">
            <w:pPr>
              <w:spacing w:line="360" w:lineRule="auto"/>
              <w:rPr>
                <w:lang w:val="en-US"/>
              </w:rPr>
            </w:pPr>
            <w:r w:rsidRPr="00B474B4">
              <w:rPr>
                <w:sz w:val="22"/>
                <w:szCs w:val="22"/>
                <w:lang w:val="en-US"/>
              </w:rPr>
              <w:t>Proteins (</w:t>
            </w:r>
            <w:r w:rsidRPr="00B474B4">
              <w:rPr>
                <w:color w:val="000000"/>
                <w:sz w:val="22"/>
                <w:szCs w:val="22"/>
                <w:lang w:val="en-US"/>
              </w:rPr>
              <w:t>g.100g</w:t>
            </w:r>
            <w:r w:rsidRPr="00B474B4">
              <w:rPr>
                <w:rStyle w:val="A8"/>
                <w:sz w:val="22"/>
                <w:szCs w:val="22"/>
                <w:vertAlign w:val="superscript"/>
                <w:lang w:val="en-US"/>
              </w:rPr>
              <w:t>–1</w:t>
            </w:r>
            <w:r w:rsidRPr="00B474B4">
              <w:rPr>
                <w:sz w:val="22"/>
                <w:szCs w:val="22"/>
                <w:lang w:val="en-US"/>
              </w:rPr>
              <w:t>)***</w:t>
            </w:r>
          </w:p>
        </w:tc>
        <w:tc>
          <w:tcPr>
            <w:tcW w:w="1667"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8,02±0,02a</w:t>
            </w:r>
          </w:p>
        </w:tc>
        <w:tc>
          <w:tcPr>
            <w:tcW w:w="1145" w:type="dxa"/>
            <w:tcBorders>
              <w:top w:val="nil"/>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6,38</w:t>
            </w:r>
          </w:p>
        </w:tc>
        <w:tc>
          <w:tcPr>
            <w:tcW w:w="1549" w:type="dxa"/>
            <w:tcBorders>
              <w:top w:val="nil"/>
              <w:left w:val="nil"/>
              <w:bottom w:val="nil"/>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6,79±0,05b</w:t>
            </w:r>
          </w:p>
        </w:tc>
        <w:tc>
          <w:tcPr>
            <w:tcW w:w="1134" w:type="dxa"/>
            <w:tcBorders>
              <w:top w:val="nil"/>
              <w:left w:val="nil"/>
              <w:bottom w:val="nil"/>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5,40</w:t>
            </w:r>
          </w:p>
        </w:tc>
        <w:tc>
          <w:tcPr>
            <w:tcW w:w="1260"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8,40</w:t>
            </w:r>
          </w:p>
        </w:tc>
      </w:tr>
      <w:tr w:rsidR="000940B2" w:rsidRPr="004A5591" w:rsidTr="007C6E5D">
        <w:tc>
          <w:tcPr>
            <w:tcW w:w="2977" w:type="dxa"/>
            <w:tcBorders>
              <w:top w:val="nil"/>
              <w:left w:val="nil"/>
              <w:bottom w:val="nil"/>
              <w:right w:val="nil"/>
            </w:tcBorders>
            <w:vAlign w:val="center"/>
          </w:tcPr>
          <w:p w:rsidR="000940B2" w:rsidRPr="00B474B4" w:rsidRDefault="000940B2" w:rsidP="00B924E1">
            <w:pPr>
              <w:spacing w:line="360" w:lineRule="auto"/>
              <w:rPr>
                <w:lang w:val="en-US"/>
              </w:rPr>
            </w:pPr>
            <w:r w:rsidRPr="00B474B4">
              <w:rPr>
                <w:sz w:val="22"/>
                <w:szCs w:val="22"/>
                <w:lang w:val="en-US"/>
              </w:rPr>
              <w:t>Lipids (</w:t>
            </w:r>
            <w:r w:rsidRPr="00B474B4">
              <w:rPr>
                <w:color w:val="000000"/>
                <w:sz w:val="22"/>
                <w:szCs w:val="22"/>
                <w:lang w:val="en-US"/>
              </w:rPr>
              <w:t>g.100g</w:t>
            </w:r>
            <w:r w:rsidRPr="00B474B4">
              <w:rPr>
                <w:rStyle w:val="A8"/>
                <w:sz w:val="22"/>
                <w:szCs w:val="22"/>
                <w:vertAlign w:val="superscript"/>
                <w:lang w:val="en-US"/>
              </w:rPr>
              <w:t>–1</w:t>
            </w:r>
            <w:r w:rsidRPr="00B474B4">
              <w:rPr>
                <w:sz w:val="22"/>
                <w:szCs w:val="22"/>
                <w:lang w:val="en-US"/>
              </w:rPr>
              <w:t>)***</w:t>
            </w:r>
          </w:p>
        </w:tc>
        <w:tc>
          <w:tcPr>
            <w:tcW w:w="1667"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2,51±0,05a</w:t>
            </w:r>
          </w:p>
        </w:tc>
        <w:tc>
          <w:tcPr>
            <w:tcW w:w="1145" w:type="dxa"/>
            <w:tcBorders>
              <w:top w:val="nil"/>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1,90</w:t>
            </w:r>
          </w:p>
        </w:tc>
        <w:tc>
          <w:tcPr>
            <w:tcW w:w="1549" w:type="dxa"/>
            <w:tcBorders>
              <w:top w:val="nil"/>
              <w:left w:val="nil"/>
              <w:bottom w:val="nil"/>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2,58±0,09a</w:t>
            </w:r>
          </w:p>
        </w:tc>
        <w:tc>
          <w:tcPr>
            <w:tcW w:w="1134" w:type="dxa"/>
            <w:tcBorders>
              <w:top w:val="nil"/>
              <w:left w:val="nil"/>
              <w:bottom w:val="nil"/>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1,96</w:t>
            </w:r>
          </w:p>
        </w:tc>
        <w:tc>
          <w:tcPr>
            <w:tcW w:w="1260"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2,80</w:t>
            </w:r>
          </w:p>
        </w:tc>
      </w:tr>
      <w:tr w:rsidR="000940B2" w:rsidRPr="004A5591" w:rsidTr="007C6E5D">
        <w:tc>
          <w:tcPr>
            <w:tcW w:w="2977" w:type="dxa"/>
            <w:tcBorders>
              <w:top w:val="nil"/>
              <w:left w:val="nil"/>
              <w:bottom w:val="nil"/>
              <w:right w:val="nil"/>
            </w:tcBorders>
            <w:vAlign w:val="center"/>
          </w:tcPr>
          <w:p w:rsidR="000940B2" w:rsidRPr="00B474B4" w:rsidRDefault="000940B2" w:rsidP="00B924E1">
            <w:pPr>
              <w:spacing w:line="360" w:lineRule="auto"/>
            </w:pPr>
            <w:r w:rsidRPr="00B474B4">
              <w:rPr>
                <w:sz w:val="22"/>
                <w:szCs w:val="22"/>
                <w:lang w:val="en-US"/>
              </w:rPr>
              <w:t>Carbohydrate</w:t>
            </w:r>
            <w:r w:rsidRPr="00B474B4">
              <w:rPr>
                <w:sz w:val="22"/>
                <w:szCs w:val="22"/>
              </w:rPr>
              <w:t xml:space="preserve"> (</w:t>
            </w:r>
            <w:r w:rsidRPr="00B474B4">
              <w:rPr>
                <w:color w:val="000000"/>
                <w:sz w:val="22"/>
                <w:szCs w:val="22"/>
              </w:rPr>
              <w:t>g.100g</w:t>
            </w:r>
            <w:r w:rsidRPr="00B474B4">
              <w:rPr>
                <w:rStyle w:val="A8"/>
                <w:sz w:val="22"/>
                <w:szCs w:val="22"/>
                <w:vertAlign w:val="superscript"/>
                <w:lang w:val="en-US"/>
              </w:rPr>
              <w:t>–1</w:t>
            </w:r>
            <w:r w:rsidRPr="00B474B4">
              <w:rPr>
                <w:sz w:val="22"/>
                <w:szCs w:val="22"/>
              </w:rPr>
              <w:t>)***</w:t>
            </w:r>
          </w:p>
        </w:tc>
        <w:tc>
          <w:tcPr>
            <w:tcW w:w="1667"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55,66±0,07b</w:t>
            </w:r>
          </w:p>
        </w:tc>
        <w:tc>
          <w:tcPr>
            <w:tcW w:w="1145" w:type="dxa"/>
            <w:tcBorders>
              <w:top w:val="nil"/>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10,75</w:t>
            </w:r>
          </w:p>
        </w:tc>
        <w:tc>
          <w:tcPr>
            <w:tcW w:w="1549" w:type="dxa"/>
            <w:tcBorders>
              <w:top w:val="nil"/>
              <w:left w:val="nil"/>
              <w:bottom w:val="nil"/>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65,62±0,02a</w:t>
            </w:r>
          </w:p>
        </w:tc>
        <w:tc>
          <w:tcPr>
            <w:tcW w:w="1134" w:type="dxa"/>
            <w:tcBorders>
              <w:top w:val="nil"/>
              <w:left w:val="nil"/>
              <w:bottom w:val="nil"/>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12,67</w:t>
            </w:r>
          </w:p>
        </w:tc>
        <w:tc>
          <w:tcPr>
            <w:tcW w:w="1260"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61,50</w:t>
            </w:r>
          </w:p>
        </w:tc>
      </w:tr>
      <w:tr w:rsidR="000940B2" w:rsidRPr="004A5591" w:rsidTr="007C6E5D">
        <w:tc>
          <w:tcPr>
            <w:tcW w:w="2977" w:type="dxa"/>
            <w:tcBorders>
              <w:top w:val="nil"/>
              <w:left w:val="nil"/>
              <w:bottom w:val="nil"/>
              <w:right w:val="nil"/>
            </w:tcBorders>
            <w:vAlign w:val="center"/>
          </w:tcPr>
          <w:p w:rsidR="000940B2" w:rsidRPr="00B474B4" w:rsidRDefault="000940B2" w:rsidP="00B924E1">
            <w:pPr>
              <w:spacing w:line="360" w:lineRule="auto"/>
            </w:pPr>
            <w:r w:rsidRPr="00B474B4">
              <w:rPr>
                <w:sz w:val="22"/>
                <w:szCs w:val="22"/>
              </w:rPr>
              <w:t>Calorie value (kcal.</w:t>
            </w:r>
            <w:r w:rsidRPr="00B474B4">
              <w:rPr>
                <w:color w:val="000000"/>
                <w:sz w:val="22"/>
                <w:szCs w:val="22"/>
              </w:rPr>
              <w:t>100g</w:t>
            </w:r>
            <w:r w:rsidRPr="00B474B4">
              <w:rPr>
                <w:rStyle w:val="A8"/>
                <w:sz w:val="22"/>
                <w:szCs w:val="22"/>
                <w:vertAlign w:val="superscript"/>
              </w:rPr>
              <w:t>–1</w:t>
            </w:r>
            <w:r w:rsidRPr="00B474B4">
              <w:rPr>
                <w:sz w:val="22"/>
                <w:szCs w:val="22"/>
              </w:rPr>
              <w:t>)***</w:t>
            </w:r>
          </w:p>
        </w:tc>
        <w:tc>
          <w:tcPr>
            <w:tcW w:w="1667"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280,85±0,28</w:t>
            </w:r>
            <w:r w:rsidR="00A245D6">
              <w:rPr>
                <w:sz w:val="22"/>
                <w:szCs w:val="22"/>
                <w:lang w:val="en-US"/>
              </w:rPr>
              <w:t>a</w:t>
            </w:r>
          </w:p>
        </w:tc>
        <w:tc>
          <w:tcPr>
            <w:tcW w:w="1145" w:type="dxa"/>
            <w:tcBorders>
              <w:top w:val="nil"/>
              <w:left w:val="nil"/>
              <w:bottom w:val="nil"/>
              <w:right w:val="nil"/>
            </w:tcBorders>
            <w:vAlign w:val="center"/>
          </w:tcPr>
          <w:p w:rsidR="000940B2" w:rsidRPr="00B474B4" w:rsidRDefault="000940B2" w:rsidP="00B924E1">
            <w:pPr>
              <w:spacing w:line="360" w:lineRule="auto"/>
              <w:ind w:left="-174" w:right="-99"/>
              <w:jc w:val="center"/>
              <w:rPr>
                <w:lang w:val="en-US"/>
              </w:rPr>
            </w:pPr>
            <w:r w:rsidRPr="00B474B4">
              <w:rPr>
                <w:sz w:val="22"/>
                <w:szCs w:val="22"/>
                <w:lang w:val="en-US"/>
              </w:rPr>
              <w:t>7,64</w:t>
            </w:r>
          </w:p>
        </w:tc>
        <w:tc>
          <w:tcPr>
            <w:tcW w:w="1549" w:type="dxa"/>
            <w:tcBorders>
              <w:top w:val="nil"/>
              <w:left w:val="nil"/>
              <w:bottom w:val="nil"/>
              <w:right w:val="nil"/>
            </w:tcBorders>
            <w:vAlign w:val="center"/>
          </w:tcPr>
          <w:p w:rsidR="000940B2" w:rsidRPr="00B474B4" w:rsidRDefault="00D253C5" w:rsidP="00D253C5">
            <w:pPr>
              <w:spacing w:line="360" w:lineRule="auto"/>
              <w:ind w:left="-108" w:right="-108"/>
              <w:jc w:val="center"/>
              <w:rPr>
                <w:lang w:val="en-US"/>
              </w:rPr>
            </w:pPr>
            <w:r>
              <w:rPr>
                <w:sz w:val="22"/>
                <w:szCs w:val="22"/>
                <w:lang w:val="en-US"/>
              </w:rPr>
              <w:t>239</w:t>
            </w:r>
            <w:r w:rsidR="000940B2" w:rsidRPr="00B474B4">
              <w:rPr>
                <w:sz w:val="22"/>
                <w:szCs w:val="22"/>
                <w:lang w:val="en-US"/>
              </w:rPr>
              <w:t>,</w:t>
            </w:r>
            <w:r>
              <w:rPr>
                <w:sz w:val="22"/>
                <w:szCs w:val="22"/>
                <w:lang w:val="en-US"/>
              </w:rPr>
              <w:t>27</w:t>
            </w:r>
            <w:r w:rsidR="000940B2" w:rsidRPr="00B474B4">
              <w:rPr>
                <w:sz w:val="22"/>
                <w:szCs w:val="22"/>
                <w:lang w:val="en-US"/>
              </w:rPr>
              <w:t>±0,46</w:t>
            </w:r>
            <w:r w:rsidR="00A245D6">
              <w:rPr>
                <w:sz w:val="22"/>
                <w:szCs w:val="22"/>
                <w:lang w:val="en-US"/>
              </w:rPr>
              <w:t>b</w:t>
            </w:r>
          </w:p>
        </w:tc>
        <w:tc>
          <w:tcPr>
            <w:tcW w:w="1134" w:type="dxa"/>
            <w:tcBorders>
              <w:top w:val="nil"/>
              <w:left w:val="nil"/>
              <w:bottom w:val="nil"/>
              <w:right w:val="nil"/>
            </w:tcBorders>
            <w:vAlign w:val="center"/>
          </w:tcPr>
          <w:p w:rsidR="000940B2" w:rsidRPr="00B474B4" w:rsidRDefault="00F10E52" w:rsidP="00B924E1">
            <w:pPr>
              <w:spacing w:line="360" w:lineRule="auto"/>
              <w:ind w:left="-170" w:right="-104"/>
              <w:jc w:val="center"/>
              <w:rPr>
                <w:lang w:val="en-US"/>
              </w:rPr>
            </w:pPr>
            <w:r>
              <w:rPr>
                <w:sz w:val="22"/>
                <w:szCs w:val="22"/>
                <w:lang w:val="en-US"/>
              </w:rPr>
              <w:t>6,64</w:t>
            </w:r>
          </w:p>
        </w:tc>
        <w:tc>
          <w:tcPr>
            <w:tcW w:w="1260" w:type="dxa"/>
            <w:tcBorders>
              <w:top w:val="nil"/>
              <w:left w:val="nil"/>
              <w:bottom w:val="nil"/>
              <w:right w:val="nil"/>
            </w:tcBorders>
            <w:vAlign w:val="center"/>
          </w:tcPr>
          <w:p w:rsidR="000940B2" w:rsidRPr="00B474B4" w:rsidRDefault="000940B2" w:rsidP="00B924E1">
            <w:pPr>
              <w:spacing w:line="360" w:lineRule="auto"/>
              <w:jc w:val="center"/>
              <w:rPr>
                <w:lang w:val="en-US"/>
              </w:rPr>
            </w:pPr>
            <w:r w:rsidRPr="00B474B4">
              <w:rPr>
                <w:sz w:val="22"/>
                <w:szCs w:val="22"/>
                <w:lang w:val="en-US"/>
              </w:rPr>
              <w:t>311,00</w:t>
            </w:r>
          </w:p>
        </w:tc>
      </w:tr>
      <w:tr w:rsidR="000940B2" w:rsidRPr="004A5591" w:rsidTr="007C6E5D">
        <w:tc>
          <w:tcPr>
            <w:tcW w:w="2977" w:type="dxa"/>
            <w:tcBorders>
              <w:top w:val="nil"/>
              <w:left w:val="nil"/>
              <w:bottom w:val="single" w:sz="4" w:space="0" w:color="auto"/>
              <w:right w:val="nil"/>
            </w:tcBorders>
          </w:tcPr>
          <w:p w:rsidR="000940B2" w:rsidRPr="00B474B4" w:rsidRDefault="000940B2" w:rsidP="00B924E1">
            <w:pPr>
              <w:spacing w:line="360" w:lineRule="auto"/>
              <w:rPr>
                <w:color w:val="000000"/>
                <w:lang w:val="en-US"/>
              </w:rPr>
            </w:pPr>
            <w:r w:rsidRPr="00B474B4">
              <w:rPr>
                <w:color w:val="000000"/>
                <w:sz w:val="22"/>
                <w:szCs w:val="22"/>
                <w:lang w:val="en-US"/>
              </w:rPr>
              <w:t>Crude fiber (g.100g</w:t>
            </w:r>
            <w:r w:rsidRPr="00B474B4">
              <w:rPr>
                <w:rStyle w:val="A8"/>
                <w:sz w:val="22"/>
                <w:szCs w:val="22"/>
                <w:vertAlign w:val="superscript"/>
                <w:lang w:val="en-US"/>
              </w:rPr>
              <w:t>–1</w:t>
            </w:r>
            <w:r w:rsidRPr="00B474B4">
              <w:rPr>
                <w:color w:val="000000"/>
                <w:sz w:val="22"/>
                <w:szCs w:val="22"/>
                <w:lang w:val="en-US"/>
              </w:rPr>
              <w:t>)***</w:t>
            </w:r>
          </w:p>
        </w:tc>
        <w:tc>
          <w:tcPr>
            <w:tcW w:w="1667" w:type="dxa"/>
            <w:tcBorders>
              <w:top w:val="nil"/>
              <w:left w:val="nil"/>
              <w:bottom w:val="single" w:sz="4" w:space="0" w:color="auto"/>
              <w:right w:val="nil"/>
            </w:tcBorders>
            <w:vAlign w:val="center"/>
          </w:tcPr>
          <w:p w:rsidR="000940B2" w:rsidRPr="00B474B4" w:rsidRDefault="000940B2" w:rsidP="00B924E1">
            <w:pPr>
              <w:spacing w:line="360" w:lineRule="auto"/>
              <w:jc w:val="center"/>
              <w:rPr>
                <w:lang w:val="en-US"/>
              </w:rPr>
            </w:pPr>
            <w:r w:rsidRPr="00B474B4">
              <w:rPr>
                <w:sz w:val="22"/>
                <w:szCs w:val="22"/>
                <w:lang w:val="en-US"/>
              </w:rPr>
              <w:t>7,12±0,03b</w:t>
            </w:r>
          </w:p>
        </w:tc>
        <w:tc>
          <w:tcPr>
            <w:tcW w:w="1145" w:type="dxa"/>
            <w:tcBorders>
              <w:top w:val="nil"/>
              <w:left w:val="nil"/>
              <w:bottom w:val="single" w:sz="4" w:space="0" w:color="auto"/>
              <w:right w:val="nil"/>
            </w:tcBorders>
            <w:vAlign w:val="center"/>
          </w:tcPr>
          <w:p w:rsidR="000940B2" w:rsidRPr="00B474B4" w:rsidRDefault="000940B2" w:rsidP="00B924E1">
            <w:pPr>
              <w:spacing w:line="360" w:lineRule="auto"/>
              <w:ind w:left="-184" w:right="-99"/>
              <w:jc w:val="center"/>
              <w:rPr>
                <w:lang w:val="en-US"/>
              </w:rPr>
            </w:pPr>
            <w:r w:rsidRPr="00B474B4">
              <w:rPr>
                <w:sz w:val="22"/>
                <w:szCs w:val="22"/>
                <w:lang w:val="en-US"/>
              </w:rPr>
              <w:t>ND</w:t>
            </w:r>
          </w:p>
        </w:tc>
        <w:tc>
          <w:tcPr>
            <w:tcW w:w="1549" w:type="dxa"/>
            <w:tcBorders>
              <w:top w:val="nil"/>
              <w:left w:val="nil"/>
              <w:bottom w:val="single" w:sz="4" w:space="0" w:color="auto"/>
              <w:right w:val="nil"/>
            </w:tcBorders>
            <w:vAlign w:val="center"/>
          </w:tcPr>
          <w:p w:rsidR="000940B2" w:rsidRPr="00B474B4" w:rsidRDefault="000940B2" w:rsidP="00B924E1">
            <w:pPr>
              <w:spacing w:line="360" w:lineRule="auto"/>
              <w:ind w:left="-108" w:right="-108"/>
              <w:jc w:val="center"/>
              <w:rPr>
                <w:lang w:val="en-US"/>
              </w:rPr>
            </w:pPr>
            <w:r w:rsidRPr="00B474B4">
              <w:rPr>
                <w:sz w:val="22"/>
                <w:szCs w:val="22"/>
                <w:lang w:val="en-US"/>
              </w:rPr>
              <w:t>9,03±0,10a</w:t>
            </w:r>
          </w:p>
        </w:tc>
        <w:tc>
          <w:tcPr>
            <w:tcW w:w="1134" w:type="dxa"/>
            <w:tcBorders>
              <w:top w:val="nil"/>
              <w:left w:val="nil"/>
              <w:bottom w:val="single" w:sz="4" w:space="0" w:color="auto"/>
              <w:right w:val="nil"/>
            </w:tcBorders>
            <w:vAlign w:val="center"/>
          </w:tcPr>
          <w:p w:rsidR="000940B2" w:rsidRPr="00B474B4" w:rsidRDefault="000940B2" w:rsidP="00B924E1">
            <w:pPr>
              <w:spacing w:line="360" w:lineRule="auto"/>
              <w:ind w:left="-170" w:right="-104"/>
              <w:jc w:val="center"/>
              <w:rPr>
                <w:lang w:val="en-US"/>
              </w:rPr>
            </w:pPr>
            <w:r w:rsidRPr="00B474B4">
              <w:rPr>
                <w:sz w:val="22"/>
                <w:szCs w:val="22"/>
                <w:lang w:val="en-US"/>
              </w:rPr>
              <w:t>ND</w:t>
            </w:r>
          </w:p>
        </w:tc>
        <w:tc>
          <w:tcPr>
            <w:tcW w:w="1260" w:type="dxa"/>
            <w:tcBorders>
              <w:top w:val="nil"/>
              <w:left w:val="nil"/>
              <w:bottom w:val="single" w:sz="4" w:space="0" w:color="auto"/>
              <w:right w:val="nil"/>
            </w:tcBorders>
            <w:vAlign w:val="center"/>
          </w:tcPr>
          <w:p w:rsidR="000940B2" w:rsidRPr="00B474B4" w:rsidRDefault="000940B2" w:rsidP="00B924E1">
            <w:pPr>
              <w:spacing w:line="360" w:lineRule="auto"/>
              <w:jc w:val="center"/>
              <w:rPr>
                <w:lang w:val="en-US"/>
              </w:rPr>
            </w:pPr>
            <w:r w:rsidRPr="00B474B4">
              <w:rPr>
                <w:sz w:val="22"/>
                <w:szCs w:val="22"/>
                <w:lang w:val="en-US"/>
              </w:rPr>
              <w:t>ND</w:t>
            </w:r>
          </w:p>
        </w:tc>
      </w:tr>
    </w:tbl>
    <w:p w:rsidR="000940B2" w:rsidRDefault="000940B2" w:rsidP="000940B2">
      <w:pPr>
        <w:jc w:val="both"/>
        <w:rPr>
          <w:sz w:val="18"/>
          <w:szCs w:val="18"/>
          <w:lang w:val="en-US"/>
        </w:rPr>
      </w:pPr>
      <w:r w:rsidRPr="00B474B4">
        <w:rPr>
          <w:sz w:val="18"/>
          <w:szCs w:val="18"/>
          <w:lang w:val="en-US"/>
        </w:rPr>
        <w:t>Different letters in the line indicate significant difference by student's test (p&lt;0.05); *DV: nutrients evaluated by the average of the DRI (2005), with base in a diet of 1802,55 kcal/day; ** Values compared with “Traditional homemade bread” (TACO, 2011); *** Results expressed in humid base; SD: Standard deviation; ND: not available.</w:t>
      </w:r>
    </w:p>
    <w:p w:rsidR="006A44F1" w:rsidRDefault="006A44F1" w:rsidP="009F5853">
      <w:pPr>
        <w:spacing w:line="360" w:lineRule="auto"/>
        <w:jc w:val="both"/>
        <w:rPr>
          <w:lang w:val="en-US"/>
        </w:rPr>
      </w:pPr>
    </w:p>
    <w:p w:rsidR="009F5853" w:rsidRDefault="009F5853" w:rsidP="009F5853">
      <w:pPr>
        <w:spacing w:line="360" w:lineRule="auto"/>
        <w:ind w:firstLine="708"/>
        <w:jc w:val="both"/>
        <w:rPr>
          <w:lang w:val="en-US" w:eastAsia="en-US"/>
        </w:rPr>
      </w:pPr>
    </w:p>
    <w:p w:rsidR="00977249" w:rsidRPr="00736E6C" w:rsidRDefault="00977249" w:rsidP="009F5853">
      <w:pPr>
        <w:spacing w:line="360" w:lineRule="auto"/>
        <w:ind w:firstLine="708"/>
        <w:jc w:val="both"/>
        <w:rPr>
          <w:lang w:val="en-US" w:eastAsia="en-US"/>
        </w:rPr>
      </w:pPr>
      <w:r w:rsidRPr="006A44F1">
        <w:rPr>
          <w:lang w:val="en-US" w:eastAsia="en-US"/>
        </w:rPr>
        <w:t>Higher moisture</w:t>
      </w:r>
      <w:r w:rsidRPr="006A44F1">
        <w:rPr>
          <w:b/>
          <w:bCs/>
          <w:lang w:val="en-US" w:eastAsia="en-US"/>
        </w:rPr>
        <w:t xml:space="preserve"> </w:t>
      </w:r>
      <w:r w:rsidRPr="006A44F1">
        <w:rPr>
          <w:lang w:val="en-US" w:eastAsia="en-US"/>
        </w:rPr>
        <w:t>and protein contents were verified for the F1 (p&lt;0.05). B</w:t>
      </w:r>
      <w:r w:rsidRPr="006A44F1">
        <w:rPr>
          <w:rStyle w:val="hps"/>
          <w:lang w:val="en-US"/>
        </w:rPr>
        <w:t>oth</w:t>
      </w:r>
      <w:r w:rsidRPr="00536C09">
        <w:rPr>
          <w:rStyle w:val="hps"/>
          <w:lang w:val="en-US"/>
        </w:rPr>
        <w:t xml:space="preserve"> formulations</w:t>
      </w:r>
      <w:r w:rsidRPr="00591588">
        <w:rPr>
          <w:lang w:val="en-US" w:eastAsia="en-US"/>
        </w:rPr>
        <w:t xml:space="preserve"> </w:t>
      </w:r>
      <w:r w:rsidRPr="00536C09">
        <w:rPr>
          <w:rStyle w:val="hps"/>
          <w:lang w:val="en-US"/>
        </w:rPr>
        <w:t xml:space="preserve">are in accordance with </w:t>
      </w:r>
      <w:r w:rsidRPr="00591588">
        <w:rPr>
          <w:lang w:val="en-US" w:eastAsia="en-US"/>
        </w:rPr>
        <w:t>recom</w:t>
      </w:r>
      <w:r w:rsidR="00233A4A">
        <w:rPr>
          <w:lang w:val="en-US" w:eastAsia="en-US"/>
        </w:rPr>
        <w:t>mendation of the RDC Nº</w:t>
      </w:r>
      <w:r w:rsidRPr="00591588">
        <w:rPr>
          <w:lang w:val="en-US" w:eastAsia="en-US"/>
        </w:rPr>
        <w:t>. 90, the National Health Surveillance Agency (ANVISA), which defines a maximum of 38% moisture to breads (BRA</w:t>
      </w:r>
      <w:r w:rsidR="000A7541">
        <w:rPr>
          <w:lang w:val="en-US" w:eastAsia="en-US"/>
        </w:rPr>
        <w:t>S</w:t>
      </w:r>
      <w:r w:rsidRPr="00591588">
        <w:rPr>
          <w:lang w:val="en-US" w:eastAsia="en-US"/>
        </w:rPr>
        <w:t>IL, 2000). The higher moisture content recorded on F1 can be explained according to Morris and Morris (2012) water absorption is reduced by inulin addition. Yet, the highest protein content in the sample pattern can</w:t>
      </w:r>
      <w:r w:rsidRPr="004565F6">
        <w:rPr>
          <w:lang w:val="en-US" w:eastAsia="en-US"/>
        </w:rPr>
        <w:t xml:space="preserve"> be explained by the greater amount of flour present in this formulation, which has a</w:t>
      </w:r>
      <w:r>
        <w:rPr>
          <w:lang w:val="en-US" w:eastAsia="en-US"/>
        </w:rPr>
        <w:t xml:space="preserve"> </w:t>
      </w:r>
      <w:r w:rsidRPr="004565F6">
        <w:rPr>
          <w:lang w:val="en-US" w:eastAsia="en-US"/>
        </w:rPr>
        <w:t>higher protein content in their comp</w:t>
      </w:r>
      <w:r>
        <w:rPr>
          <w:lang w:val="en-US" w:eastAsia="en-US"/>
        </w:rPr>
        <w:t>osition (9.8%) (TACO, 2011) than inulin (0%) (BENEO</w:t>
      </w:r>
      <w:r w:rsidRPr="00B17F05">
        <w:rPr>
          <w:vertAlign w:val="superscript"/>
          <w:lang w:val="en-US" w:eastAsia="en-US"/>
        </w:rPr>
        <w:t>®</w:t>
      </w:r>
      <w:r w:rsidRPr="004565F6">
        <w:rPr>
          <w:lang w:val="en-US" w:eastAsia="en-US"/>
        </w:rPr>
        <w:t xml:space="preserve"> HP, 2012). However, both F1 and F4 showed lower results than </w:t>
      </w:r>
      <w:r w:rsidRPr="00736E6C">
        <w:rPr>
          <w:lang w:val="en-US" w:eastAsia="en-US"/>
        </w:rPr>
        <w:t>the reference product (TACO, 2011).</w:t>
      </w:r>
    </w:p>
    <w:p w:rsidR="00736E6C" w:rsidRPr="00026D25" w:rsidRDefault="00736E6C" w:rsidP="00571A63">
      <w:pPr>
        <w:spacing w:line="360" w:lineRule="auto"/>
        <w:ind w:firstLine="708"/>
        <w:jc w:val="both"/>
        <w:rPr>
          <w:rStyle w:val="hps"/>
          <w:lang w:val="en-US"/>
        </w:rPr>
      </w:pPr>
      <w:r w:rsidRPr="00026D25">
        <w:rPr>
          <w:rStyle w:val="hps"/>
          <w:lang w:val="en-US"/>
        </w:rPr>
        <w:t>Despite the reduction</w:t>
      </w:r>
      <w:r w:rsidRPr="00026D25">
        <w:rPr>
          <w:lang w:val="en-US"/>
        </w:rPr>
        <w:t xml:space="preserve"> </w:t>
      </w:r>
      <w:r w:rsidRPr="00026D25">
        <w:rPr>
          <w:rStyle w:val="hps"/>
          <w:lang w:val="en-US"/>
        </w:rPr>
        <w:t>in the</w:t>
      </w:r>
      <w:r w:rsidRPr="00026D25">
        <w:rPr>
          <w:lang w:val="en-US"/>
        </w:rPr>
        <w:t xml:space="preserve"> </w:t>
      </w:r>
      <w:r w:rsidRPr="00026D25">
        <w:rPr>
          <w:rStyle w:val="hps"/>
          <w:lang w:val="en-US"/>
        </w:rPr>
        <w:t>protein content of the</w:t>
      </w:r>
      <w:r w:rsidRPr="00026D25">
        <w:rPr>
          <w:lang w:val="en-US"/>
        </w:rPr>
        <w:t xml:space="preserve"> </w:t>
      </w:r>
      <w:r w:rsidRPr="00026D25">
        <w:rPr>
          <w:rStyle w:val="hps"/>
          <w:lang w:val="en-US"/>
        </w:rPr>
        <w:t>inulin</w:t>
      </w:r>
      <w:r w:rsidRPr="00026D25">
        <w:rPr>
          <w:lang w:val="en-US"/>
        </w:rPr>
        <w:t xml:space="preserve"> </w:t>
      </w:r>
      <w:r w:rsidRPr="00026D25">
        <w:rPr>
          <w:rStyle w:val="hps"/>
          <w:lang w:val="en-US"/>
        </w:rPr>
        <w:t>product</w:t>
      </w:r>
      <w:r w:rsidRPr="00026D25">
        <w:rPr>
          <w:lang w:val="en-US"/>
        </w:rPr>
        <w:t xml:space="preserve"> </w:t>
      </w:r>
      <w:r w:rsidRPr="00026D25">
        <w:rPr>
          <w:rStyle w:val="hps"/>
          <w:lang w:val="en-US"/>
        </w:rPr>
        <w:t>added</w:t>
      </w:r>
      <w:r w:rsidRPr="00026D25">
        <w:rPr>
          <w:lang w:val="en-US"/>
        </w:rPr>
        <w:t xml:space="preserve"> </w:t>
      </w:r>
      <w:r w:rsidRPr="00026D25">
        <w:rPr>
          <w:rStyle w:val="hps"/>
          <w:lang w:val="en-US"/>
        </w:rPr>
        <w:t>(F4</w:t>
      </w:r>
      <w:r w:rsidRPr="00026D25">
        <w:rPr>
          <w:lang w:val="en-US"/>
        </w:rPr>
        <w:t xml:space="preserve">), which </w:t>
      </w:r>
      <w:r w:rsidRPr="00026D25">
        <w:rPr>
          <w:rStyle w:val="hps"/>
          <w:lang w:val="en-US"/>
        </w:rPr>
        <w:t>somewhat</w:t>
      </w:r>
      <w:r w:rsidRPr="00026D25">
        <w:rPr>
          <w:lang w:val="en-US"/>
        </w:rPr>
        <w:t xml:space="preserve"> </w:t>
      </w:r>
      <w:r w:rsidRPr="00026D25">
        <w:rPr>
          <w:rStyle w:val="hps"/>
          <w:lang w:val="en-US"/>
        </w:rPr>
        <w:t>reduces</w:t>
      </w:r>
      <w:r w:rsidRPr="00026D25">
        <w:rPr>
          <w:lang w:val="en-US"/>
        </w:rPr>
        <w:t xml:space="preserve"> </w:t>
      </w:r>
      <w:r w:rsidRPr="00026D25">
        <w:rPr>
          <w:rStyle w:val="hps"/>
          <w:lang w:val="en-US"/>
        </w:rPr>
        <w:t>its nutritional value</w:t>
      </w:r>
      <w:r w:rsidRPr="00026D25">
        <w:rPr>
          <w:lang w:val="en-US"/>
        </w:rPr>
        <w:t xml:space="preserve">, it was </w:t>
      </w:r>
      <w:r w:rsidRPr="00026D25">
        <w:rPr>
          <w:rStyle w:val="hps"/>
          <w:lang w:val="en-US"/>
        </w:rPr>
        <w:t xml:space="preserve">possible to </w:t>
      </w:r>
      <w:r w:rsidR="007245C1" w:rsidRPr="00026D25">
        <w:rPr>
          <w:rStyle w:val="hps"/>
          <w:lang w:val="en-US"/>
        </w:rPr>
        <w:t xml:space="preserve">lower </w:t>
      </w:r>
      <w:r w:rsidRPr="00026D25">
        <w:rPr>
          <w:rStyle w:val="hps"/>
          <w:lang w:val="en-US"/>
        </w:rPr>
        <w:t>the</w:t>
      </w:r>
      <w:r w:rsidRPr="00026D25">
        <w:rPr>
          <w:lang w:val="en-US"/>
        </w:rPr>
        <w:t xml:space="preserve"> </w:t>
      </w:r>
      <w:r w:rsidRPr="00026D25">
        <w:rPr>
          <w:rStyle w:val="hps"/>
          <w:lang w:val="en-US"/>
        </w:rPr>
        <w:t>calorie</w:t>
      </w:r>
      <w:r w:rsidRPr="00026D25">
        <w:rPr>
          <w:lang w:val="en-US"/>
        </w:rPr>
        <w:t xml:space="preserve"> </w:t>
      </w:r>
      <w:r w:rsidRPr="00026D25">
        <w:rPr>
          <w:rStyle w:val="hps"/>
          <w:lang w:val="en-US"/>
        </w:rPr>
        <w:t>content</w:t>
      </w:r>
      <w:r w:rsidRPr="00026D25">
        <w:rPr>
          <w:lang w:val="en-US"/>
        </w:rPr>
        <w:t xml:space="preserve"> </w:t>
      </w:r>
      <w:r w:rsidRPr="00026D25">
        <w:rPr>
          <w:rStyle w:val="hps"/>
          <w:lang w:val="en-US"/>
        </w:rPr>
        <w:t>of</w:t>
      </w:r>
      <w:r w:rsidRPr="00026D25">
        <w:rPr>
          <w:lang w:val="en-US"/>
        </w:rPr>
        <w:t xml:space="preserve"> </w:t>
      </w:r>
      <w:r w:rsidRPr="00026D25">
        <w:rPr>
          <w:rStyle w:val="hps"/>
          <w:lang w:val="en-US"/>
        </w:rPr>
        <w:t>14.81%</w:t>
      </w:r>
      <w:r w:rsidRPr="00026D25">
        <w:rPr>
          <w:lang w:val="en-US"/>
        </w:rPr>
        <w:t xml:space="preserve">, a fact </w:t>
      </w:r>
      <w:r w:rsidRPr="00026D25">
        <w:rPr>
          <w:rStyle w:val="hps"/>
          <w:lang w:val="en-US"/>
        </w:rPr>
        <w:t>beneficial</w:t>
      </w:r>
      <w:r w:rsidRPr="00026D25">
        <w:rPr>
          <w:lang w:val="en-US"/>
        </w:rPr>
        <w:t xml:space="preserve"> </w:t>
      </w:r>
      <w:r w:rsidRPr="00026D25">
        <w:rPr>
          <w:rStyle w:val="hps"/>
          <w:lang w:val="en-US"/>
        </w:rPr>
        <w:t>for children,</w:t>
      </w:r>
      <w:r w:rsidRPr="00026D25">
        <w:rPr>
          <w:lang w:val="en-US"/>
        </w:rPr>
        <w:t xml:space="preserve"> </w:t>
      </w:r>
      <w:r w:rsidRPr="00026D25">
        <w:rPr>
          <w:rStyle w:val="hps"/>
          <w:lang w:val="en-US"/>
        </w:rPr>
        <w:t>since a</w:t>
      </w:r>
      <w:r w:rsidRPr="00026D25">
        <w:rPr>
          <w:lang w:val="en-US"/>
        </w:rPr>
        <w:t xml:space="preserve"> </w:t>
      </w:r>
      <w:r w:rsidRPr="00026D25">
        <w:rPr>
          <w:rStyle w:val="hps"/>
          <w:lang w:val="en-US"/>
        </w:rPr>
        <w:t>smaller</w:t>
      </w:r>
      <w:r w:rsidRPr="00026D25">
        <w:rPr>
          <w:lang w:val="en-US"/>
        </w:rPr>
        <w:t xml:space="preserve"> </w:t>
      </w:r>
      <w:r w:rsidRPr="00026D25">
        <w:rPr>
          <w:rStyle w:val="hps"/>
          <w:lang w:val="en-US"/>
        </w:rPr>
        <w:t>caloric intake</w:t>
      </w:r>
      <w:r w:rsidRPr="00026D25">
        <w:rPr>
          <w:lang w:val="en-US"/>
        </w:rPr>
        <w:t xml:space="preserve"> </w:t>
      </w:r>
      <w:r w:rsidRPr="00026D25">
        <w:rPr>
          <w:rStyle w:val="hps"/>
          <w:lang w:val="en-US"/>
        </w:rPr>
        <w:t>reduces</w:t>
      </w:r>
      <w:r w:rsidRPr="00026D25">
        <w:rPr>
          <w:lang w:val="en-US"/>
        </w:rPr>
        <w:t xml:space="preserve"> </w:t>
      </w:r>
      <w:r w:rsidRPr="00026D25">
        <w:rPr>
          <w:rStyle w:val="hps"/>
          <w:lang w:val="en-US"/>
        </w:rPr>
        <w:t>the risk of</w:t>
      </w:r>
      <w:r w:rsidRPr="00026D25">
        <w:rPr>
          <w:lang w:val="en-US"/>
        </w:rPr>
        <w:t xml:space="preserve"> </w:t>
      </w:r>
      <w:r w:rsidRPr="00026D25">
        <w:rPr>
          <w:rStyle w:val="hps"/>
          <w:lang w:val="en-US"/>
        </w:rPr>
        <w:t>chronic diseases</w:t>
      </w:r>
      <w:r w:rsidRPr="00026D25">
        <w:rPr>
          <w:lang w:val="en-US"/>
        </w:rPr>
        <w:t xml:space="preserve"> </w:t>
      </w:r>
      <w:r w:rsidRPr="00026D25">
        <w:rPr>
          <w:rStyle w:val="hps"/>
          <w:lang w:val="en-US"/>
        </w:rPr>
        <w:t>in the future (SILVEIRA; ABREU, 2006).</w:t>
      </w:r>
    </w:p>
    <w:p w:rsidR="00977249" w:rsidRDefault="00977249" w:rsidP="00571A63">
      <w:pPr>
        <w:spacing w:line="360" w:lineRule="auto"/>
        <w:ind w:firstLine="708"/>
        <w:jc w:val="both"/>
        <w:rPr>
          <w:lang w:val="en-US" w:eastAsia="en-US"/>
        </w:rPr>
      </w:pPr>
      <w:r w:rsidRPr="00736E6C">
        <w:rPr>
          <w:lang w:val="en-US" w:eastAsia="en-US"/>
        </w:rPr>
        <w:t xml:space="preserve">There was no meaningful difference between the formulations in ash and lipids evaluations. Through Chart </w:t>
      </w:r>
      <w:r w:rsidR="00233A4A" w:rsidRPr="00736E6C">
        <w:rPr>
          <w:lang w:val="en-US" w:eastAsia="en-US"/>
        </w:rPr>
        <w:t>3</w:t>
      </w:r>
      <w:r w:rsidRPr="00736E6C">
        <w:rPr>
          <w:lang w:val="en-US" w:eastAsia="en-US"/>
        </w:rPr>
        <w:t xml:space="preserve"> we can see th</w:t>
      </w:r>
      <w:r w:rsidRPr="004565F6">
        <w:rPr>
          <w:lang w:val="en-US" w:eastAsia="en-US"/>
        </w:rPr>
        <w:t xml:space="preserve">at </w:t>
      </w:r>
      <w:r w:rsidR="00922D75">
        <w:rPr>
          <w:lang w:val="en-US" w:eastAsia="en-US"/>
        </w:rPr>
        <w:t xml:space="preserve">higher levels of carbohydrates </w:t>
      </w:r>
      <w:r w:rsidRPr="004565F6">
        <w:rPr>
          <w:lang w:val="en-US" w:eastAsia="en-US"/>
        </w:rPr>
        <w:t>and crude fiber were observed in the formulation with inulin</w:t>
      </w:r>
      <w:r>
        <w:rPr>
          <w:lang w:val="en-US" w:eastAsia="en-US"/>
        </w:rPr>
        <w:t>, increasing also the DV</w:t>
      </w:r>
      <w:r w:rsidRPr="004565F6">
        <w:rPr>
          <w:lang w:val="en-US" w:eastAsia="en-US"/>
        </w:rPr>
        <w:t xml:space="preserve"> pro</w:t>
      </w:r>
      <w:r>
        <w:rPr>
          <w:lang w:val="en-US" w:eastAsia="en-US"/>
        </w:rPr>
        <w:t>duct. This fact is justified because</w:t>
      </w:r>
      <w:r w:rsidRPr="004565F6">
        <w:rPr>
          <w:lang w:val="en-US" w:eastAsia="en-US"/>
        </w:rPr>
        <w:t xml:space="preserve"> inulin has high</w:t>
      </w:r>
      <w:r>
        <w:rPr>
          <w:lang w:val="en-US" w:eastAsia="en-US"/>
        </w:rPr>
        <w:t xml:space="preserve"> </w:t>
      </w:r>
      <w:r w:rsidRPr="004565F6">
        <w:rPr>
          <w:lang w:val="en-US" w:eastAsia="en-US"/>
        </w:rPr>
        <w:t>carbohydrate</w:t>
      </w:r>
      <w:r>
        <w:rPr>
          <w:lang w:val="en-US" w:eastAsia="en-US"/>
        </w:rPr>
        <w:t xml:space="preserve"> levels</w:t>
      </w:r>
      <w:r w:rsidRPr="004565F6">
        <w:rPr>
          <w:lang w:val="en-US" w:eastAsia="en-US"/>
        </w:rPr>
        <w:t xml:space="preserve"> (96.87%) and fiber (96.87%) in their chemical composition (</w:t>
      </w:r>
      <w:r>
        <w:rPr>
          <w:lang w:val="en-US" w:eastAsia="en-US"/>
        </w:rPr>
        <w:t>BENEO</w:t>
      </w:r>
      <w:r w:rsidRPr="00B17F05">
        <w:rPr>
          <w:vertAlign w:val="superscript"/>
          <w:lang w:val="en-US" w:eastAsia="en-US"/>
        </w:rPr>
        <w:t>®</w:t>
      </w:r>
      <w:r w:rsidRPr="004565F6">
        <w:rPr>
          <w:lang w:val="en-US" w:eastAsia="en-US"/>
        </w:rPr>
        <w:t xml:space="preserve"> HP, 2012), when compared to wheat flour (75.1% and 2.3%) (TACO, 2011).</w:t>
      </w:r>
    </w:p>
    <w:p w:rsidR="00977249" w:rsidRPr="004565F6" w:rsidRDefault="00977249" w:rsidP="00571A63">
      <w:pPr>
        <w:spacing w:line="360" w:lineRule="auto"/>
        <w:ind w:firstLine="708"/>
        <w:jc w:val="both"/>
        <w:rPr>
          <w:lang w:val="en-US" w:eastAsia="en-US"/>
        </w:rPr>
      </w:pPr>
      <w:r w:rsidRPr="004565F6">
        <w:rPr>
          <w:lang w:val="en-US" w:eastAsia="en-US"/>
        </w:rPr>
        <w:t>It stands out as the main result of this work the fiber content found in the formulation F4 (9.03 g.1</w:t>
      </w:r>
      <w:r>
        <w:rPr>
          <w:lang w:val="en-US" w:eastAsia="en-US"/>
        </w:rPr>
        <w:t>00g</w:t>
      </w:r>
      <w:r w:rsidRPr="00AF631D">
        <w:rPr>
          <w:vertAlign w:val="superscript"/>
          <w:lang w:val="en-US" w:eastAsia="en-US"/>
        </w:rPr>
        <w:t>-1</w:t>
      </w:r>
      <w:r>
        <w:rPr>
          <w:lang w:val="en-US" w:eastAsia="en-US"/>
        </w:rPr>
        <w:t>), expressing a meaningful</w:t>
      </w:r>
      <w:r w:rsidRPr="004565F6">
        <w:rPr>
          <w:lang w:val="en-US" w:eastAsia="en-US"/>
        </w:rPr>
        <w:t xml:space="preserve"> increase of 26.82% compared to F1. This is due mainly to </w:t>
      </w:r>
      <w:r w:rsidRPr="004565F6">
        <w:rPr>
          <w:lang w:val="en-US" w:eastAsia="en-US"/>
        </w:rPr>
        <w:lastRenderedPageBreak/>
        <w:t>the high content of dietary fiber prese</w:t>
      </w:r>
      <w:r>
        <w:rPr>
          <w:lang w:val="en-US" w:eastAsia="en-US"/>
        </w:rPr>
        <w:t>nt in inulin. These results turn</w:t>
      </w:r>
      <w:r w:rsidRPr="004565F6">
        <w:rPr>
          <w:lang w:val="en-US" w:eastAsia="en-US"/>
        </w:rPr>
        <w:t xml:space="preserve"> the product</w:t>
      </w:r>
      <w:r>
        <w:rPr>
          <w:lang w:val="en-US" w:eastAsia="en-US"/>
        </w:rPr>
        <w:t xml:space="preserve"> into</w:t>
      </w:r>
      <w:r w:rsidRPr="004565F6">
        <w:rPr>
          <w:lang w:val="en-US" w:eastAsia="en-US"/>
        </w:rPr>
        <w:t xml:space="preserve"> an excellent choice for school, considering the low fiber intake by this group (RINALDI</w:t>
      </w:r>
      <w:r w:rsidR="00F41121">
        <w:rPr>
          <w:lang w:val="en-US" w:eastAsia="en-US"/>
        </w:rPr>
        <w:t xml:space="preserve"> et al.</w:t>
      </w:r>
      <w:r w:rsidRPr="004565F6">
        <w:rPr>
          <w:lang w:val="en-US" w:eastAsia="en-US"/>
        </w:rPr>
        <w:t>, 2008).</w:t>
      </w:r>
    </w:p>
    <w:p w:rsidR="00977249" w:rsidRDefault="00977249" w:rsidP="00571A63">
      <w:pPr>
        <w:spacing w:line="360" w:lineRule="auto"/>
        <w:ind w:firstLine="708"/>
        <w:jc w:val="both"/>
        <w:rPr>
          <w:lang w:val="en-US" w:eastAsia="en-US"/>
        </w:rPr>
      </w:pPr>
      <w:r w:rsidRPr="004565F6">
        <w:rPr>
          <w:lang w:val="en-US" w:eastAsia="en-US"/>
        </w:rPr>
        <w:t>Accordin</w:t>
      </w:r>
      <w:r w:rsidR="00F41121">
        <w:rPr>
          <w:lang w:val="en-US" w:eastAsia="en-US"/>
        </w:rPr>
        <w:t>g to Brazilian legislation (BRAS</w:t>
      </w:r>
      <w:r w:rsidRPr="004565F6">
        <w:rPr>
          <w:lang w:val="en-US" w:eastAsia="en-US"/>
        </w:rPr>
        <w:t>IL, 1998), is considered as a food</w:t>
      </w:r>
      <w:r>
        <w:rPr>
          <w:lang w:val="en-US" w:eastAsia="en-US"/>
        </w:rPr>
        <w:t xml:space="preserve"> source of dietary fiber</w:t>
      </w:r>
      <w:r w:rsidRPr="004565F6">
        <w:rPr>
          <w:lang w:val="en-US" w:eastAsia="en-US"/>
        </w:rPr>
        <w:t xml:space="preserve"> when at least</w:t>
      </w:r>
      <w:r>
        <w:rPr>
          <w:lang w:val="en-US" w:eastAsia="en-US"/>
        </w:rPr>
        <w:t xml:space="preserve"> present</w:t>
      </w:r>
      <w:r w:rsidRPr="004565F6">
        <w:rPr>
          <w:lang w:val="en-US" w:eastAsia="en-US"/>
        </w:rPr>
        <w:t xml:space="preserve"> 3% and high content</w:t>
      </w:r>
      <w:r>
        <w:rPr>
          <w:lang w:val="en-US" w:eastAsia="en-US"/>
        </w:rPr>
        <w:t xml:space="preserve"> of</w:t>
      </w:r>
      <w:r w:rsidRPr="004565F6">
        <w:rPr>
          <w:lang w:val="en-US" w:eastAsia="en-US"/>
        </w:rPr>
        <w:t xml:space="preserve"> at least 6% fiber. Th</w:t>
      </w:r>
      <w:r>
        <w:rPr>
          <w:lang w:val="en-US" w:eastAsia="en-US"/>
        </w:rPr>
        <w:t>us, knowing</w:t>
      </w:r>
      <w:r w:rsidRPr="004565F6">
        <w:rPr>
          <w:lang w:val="en-US" w:eastAsia="en-US"/>
        </w:rPr>
        <w:t xml:space="preserve"> the method of determining crude fiber used in this study underestimates the dietary fiber</w:t>
      </w:r>
      <w:r>
        <w:rPr>
          <w:lang w:val="en-US" w:eastAsia="en-US"/>
        </w:rPr>
        <w:t xml:space="preserve"> value</w:t>
      </w:r>
      <w:r w:rsidRPr="004565F6">
        <w:rPr>
          <w:lang w:val="en-US" w:eastAsia="en-US"/>
        </w:rPr>
        <w:t xml:space="preserve"> in the products (HERNÁNDEZ</w:t>
      </w:r>
      <w:r w:rsidR="00A84E63">
        <w:rPr>
          <w:lang w:val="en-US" w:eastAsia="en-US"/>
        </w:rPr>
        <w:t xml:space="preserve"> et al., </w:t>
      </w:r>
      <w:r w:rsidRPr="004565F6">
        <w:rPr>
          <w:lang w:val="en-US" w:eastAsia="en-US"/>
        </w:rPr>
        <w:t>1995), can be considered both</w:t>
      </w:r>
      <w:r>
        <w:rPr>
          <w:lang w:val="en-US" w:eastAsia="en-US"/>
        </w:rPr>
        <w:t xml:space="preserve"> samples with </w:t>
      </w:r>
      <w:r w:rsidRPr="004565F6">
        <w:rPr>
          <w:lang w:val="en-US" w:eastAsia="en-US"/>
        </w:rPr>
        <w:t>high fiber content.</w:t>
      </w:r>
    </w:p>
    <w:p w:rsidR="00682914" w:rsidRDefault="00682914" w:rsidP="00571A63">
      <w:pPr>
        <w:spacing w:line="360" w:lineRule="auto"/>
        <w:ind w:firstLine="708"/>
        <w:jc w:val="both"/>
        <w:rPr>
          <w:lang w:val="en-US" w:eastAsia="en-US"/>
        </w:rPr>
      </w:pPr>
    </w:p>
    <w:p w:rsidR="00682914" w:rsidRDefault="00682914" w:rsidP="00571A63">
      <w:pPr>
        <w:spacing w:line="360" w:lineRule="auto"/>
        <w:ind w:firstLine="708"/>
        <w:jc w:val="both"/>
        <w:rPr>
          <w:lang w:val="en-US" w:eastAsia="en-US"/>
        </w:rPr>
      </w:pPr>
    </w:p>
    <w:p w:rsidR="00977249" w:rsidRPr="00282D95" w:rsidRDefault="004C1E35" w:rsidP="00571A63">
      <w:pPr>
        <w:spacing w:line="360" w:lineRule="auto"/>
        <w:jc w:val="both"/>
        <w:rPr>
          <w:b/>
          <w:bCs/>
          <w:lang w:val="en-US" w:eastAsia="en-US"/>
        </w:rPr>
      </w:pPr>
      <w:r w:rsidRPr="00282D95">
        <w:rPr>
          <w:b/>
          <w:bCs/>
          <w:lang w:val="en-US" w:eastAsia="en-US"/>
        </w:rPr>
        <w:t>CONCLUSION</w:t>
      </w:r>
    </w:p>
    <w:p w:rsidR="00977249" w:rsidRPr="00282D95" w:rsidRDefault="00977249" w:rsidP="00571A63">
      <w:pPr>
        <w:spacing w:line="360" w:lineRule="auto"/>
        <w:jc w:val="both"/>
        <w:rPr>
          <w:b/>
          <w:bCs/>
          <w:lang w:val="en-US" w:eastAsia="en-US"/>
        </w:rPr>
      </w:pPr>
    </w:p>
    <w:p w:rsidR="00977249" w:rsidRPr="004565F6" w:rsidRDefault="00977249" w:rsidP="001B140F">
      <w:pPr>
        <w:spacing w:line="360" w:lineRule="auto"/>
        <w:ind w:firstLine="708"/>
        <w:jc w:val="both"/>
        <w:rPr>
          <w:lang w:val="en-US" w:eastAsia="en-US"/>
        </w:rPr>
      </w:pPr>
      <w:r w:rsidRPr="00282D95">
        <w:rPr>
          <w:lang w:val="en-US" w:eastAsia="en-US"/>
        </w:rPr>
        <w:t>The products development allowed proving that an addition level up to 30% inulin, in flavored breads was well</w:t>
      </w:r>
      <w:r>
        <w:rPr>
          <w:lang w:val="en-US" w:eastAsia="en-US"/>
        </w:rPr>
        <w:t xml:space="preserve"> accepted by the judges obtaining </w:t>
      </w:r>
      <w:r w:rsidRPr="004565F6">
        <w:rPr>
          <w:lang w:val="en-US" w:eastAsia="en-US"/>
        </w:rPr>
        <w:t>sensory acceptance similar to standard product.</w:t>
      </w:r>
    </w:p>
    <w:p w:rsidR="00977249" w:rsidRPr="004565F6" w:rsidRDefault="00977249" w:rsidP="001B140F">
      <w:pPr>
        <w:spacing w:line="360" w:lineRule="auto"/>
        <w:ind w:firstLine="708"/>
        <w:jc w:val="both"/>
        <w:rPr>
          <w:lang w:val="en-US" w:eastAsia="en-US"/>
        </w:rPr>
      </w:pPr>
      <w:r w:rsidRPr="004565F6">
        <w:rPr>
          <w:lang w:val="en-US" w:eastAsia="en-US"/>
        </w:rPr>
        <w:t>The</w:t>
      </w:r>
      <w:r w:rsidRPr="00B7437C">
        <w:rPr>
          <w:lang w:val="en-US" w:eastAsia="en-US"/>
        </w:rPr>
        <w:t xml:space="preserve"> physico-chemical </w:t>
      </w:r>
      <w:r w:rsidRPr="004565F6">
        <w:rPr>
          <w:lang w:val="en-US" w:eastAsia="en-US"/>
        </w:rPr>
        <w:t>samples</w:t>
      </w:r>
      <w:r>
        <w:rPr>
          <w:lang w:val="en-US" w:eastAsia="en-US"/>
        </w:rPr>
        <w:t xml:space="preserve"> analysis </w:t>
      </w:r>
      <w:r w:rsidRPr="004565F6">
        <w:rPr>
          <w:lang w:val="en-US" w:eastAsia="en-US"/>
        </w:rPr>
        <w:t>added</w:t>
      </w:r>
      <w:r>
        <w:rPr>
          <w:lang w:val="en-US" w:eastAsia="en-US"/>
        </w:rPr>
        <w:t xml:space="preserve"> with</w:t>
      </w:r>
      <w:r w:rsidRPr="004565F6">
        <w:rPr>
          <w:lang w:val="en-US" w:eastAsia="en-US"/>
        </w:rPr>
        <w:t xml:space="preserve"> 30% inulin provided the increase in nutrients such as carbohydrates </w:t>
      </w:r>
      <w:r>
        <w:rPr>
          <w:lang w:val="en-US" w:eastAsia="en-US"/>
        </w:rPr>
        <w:t>and</w:t>
      </w:r>
      <w:r w:rsidRPr="004565F6">
        <w:rPr>
          <w:lang w:val="en-US" w:eastAsia="en-US"/>
        </w:rPr>
        <w:t xml:space="preserve"> reduced pr</w:t>
      </w:r>
      <w:r>
        <w:rPr>
          <w:lang w:val="en-US" w:eastAsia="en-US"/>
        </w:rPr>
        <w:t>otein</w:t>
      </w:r>
      <w:r w:rsidR="007C0ABA">
        <w:rPr>
          <w:lang w:val="en-US" w:eastAsia="en-US"/>
        </w:rPr>
        <w:t xml:space="preserve"> and calories</w:t>
      </w:r>
      <w:r>
        <w:rPr>
          <w:lang w:val="en-US" w:eastAsia="en-US"/>
        </w:rPr>
        <w:t xml:space="preserve">. It is noteworthy that </w:t>
      </w:r>
      <w:r w:rsidRPr="004565F6">
        <w:rPr>
          <w:lang w:val="en-US" w:eastAsia="en-US"/>
        </w:rPr>
        <w:t>inulin addition to bread</w:t>
      </w:r>
      <w:r>
        <w:rPr>
          <w:lang w:val="en-US" w:eastAsia="en-US"/>
        </w:rPr>
        <w:t xml:space="preserve">s made possible a high </w:t>
      </w:r>
      <w:r w:rsidRPr="004565F6">
        <w:rPr>
          <w:lang w:val="en-US" w:eastAsia="en-US"/>
        </w:rPr>
        <w:t>fiber</w:t>
      </w:r>
      <w:r>
        <w:rPr>
          <w:lang w:val="en-US" w:eastAsia="en-US"/>
        </w:rPr>
        <w:t xml:space="preserve"> intake</w:t>
      </w:r>
      <w:r w:rsidRPr="004565F6">
        <w:rPr>
          <w:lang w:val="en-US" w:eastAsia="en-US"/>
        </w:rPr>
        <w:t>, improving the nutritional</w:t>
      </w:r>
      <w:r>
        <w:rPr>
          <w:lang w:val="en-US" w:eastAsia="en-US"/>
        </w:rPr>
        <w:t xml:space="preserve"> product</w:t>
      </w:r>
      <w:r w:rsidRPr="004565F6">
        <w:rPr>
          <w:lang w:val="en-US" w:eastAsia="en-US"/>
        </w:rPr>
        <w:t xml:space="preserve"> profile</w:t>
      </w:r>
      <w:r>
        <w:rPr>
          <w:lang w:val="en-US" w:eastAsia="en-US"/>
        </w:rPr>
        <w:t>.</w:t>
      </w:r>
      <w:r w:rsidRPr="004565F6">
        <w:rPr>
          <w:lang w:val="en-US" w:eastAsia="en-US"/>
        </w:rPr>
        <w:t xml:space="preserve"> </w:t>
      </w:r>
    </w:p>
    <w:p w:rsidR="00977249" w:rsidRDefault="00977249" w:rsidP="001B140F">
      <w:pPr>
        <w:spacing w:line="360" w:lineRule="auto"/>
        <w:ind w:firstLine="708"/>
        <w:jc w:val="both"/>
        <w:rPr>
          <w:lang w:val="en-US" w:eastAsia="en-US"/>
        </w:rPr>
      </w:pPr>
      <w:r w:rsidRPr="004565F6">
        <w:rPr>
          <w:lang w:val="en-US" w:eastAsia="en-US"/>
        </w:rPr>
        <w:t>Thus, inulin can be considered a potential ingredient with functional properties that can</w:t>
      </w:r>
      <w:r>
        <w:rPr>
          <w:lang w:val="en-US" w:eastAsia="en-US"/>
        </w:rPr>
        <w:t xml:space="preserve"> be offered to consumers in </w:t>
      </w:r>
      <w:r w:rsidRPr="00F55BB9">
        <w:rPr>
          <w:lang w:val="en-US" w:eastAsia="en-US"/>
        </w:rPr>
        <w:t xml:space="preserve">school age </w:t>
      </w:r>
      <w:r>
        <w:rPr>
          <w:lang w:val="en-US" w:eastAsia="en-US"/>
        </w:rPr>
        <w:t>with high expectations of market acceptance.</w:t>
      </w:r>
    </w:p>
    <w:p w:rsidR="00977249" w:rsidRDefault="00977249" w:rsidP="001B140F">
      <w:pPr>
        <w:spacing w:line="360" w:lineRule="auto"/>
        <w:ind w:firstLine="708"/>
        <w:jc w:val="both"/>
        <w:rPr>
          <w:lang w:val="en-US" w:eastAsia="en-US"/>
        </w:rPr>
      </w:pPr>
    </w:p>
    <w:p w:rsidR="009F5853" w:rsidRDefault="009F5853" w:rsidP="001B140F">
      <w:pPr>
        <w:spacing w:line="360" w:lineRule="auto"/>
        <w:ind w:firstLine="708"/>
        <w:jc w:val="both"/>
        <w:rPr>
          <w:lang w:val="en-US" w:eastAsia="en-US"/>
        </w:rPr>
      </w:pPr>
    </w:p>
    <w:p w:rsidR="00977249" w:rsidRPr="001B140F" w:rsidRDefault="004C1E35" w:rsidP="001B140F">
      <w:pPr>
        <w:pStyle w:val="SemEspaamento"/>
        <w:spacing w:line="360" w:lineRule="auto"/>
        <w:ind w:left="426" w:hanging="426"/>
        <w:jc w:val="both"/>
        <w:rPr>
          <w:rFonts w:ascii="Times New Roman" w:hAnsi="Times New Roman"/>
          <w:b/>
          <w:bCs/>
          <w:sz w:val="24"/>
          <w:szCs w:val="24"/>
        </w:rPr>
      </w:pPr>
      <w:r w:rsidRPr="001B140F">
        <w:rPr>
          <w:rFonts w:ascii="Times New Roman" w:hAnsi="Times New Roman"/>
          <w:b/>
          <w:bCs/>
          <w:sz w:val="24"/>
          <w:szCs w:val="24"/>
        </w:rPr>
        <w:t>REFERENCES</w:t>
      </w:r>
    </w:p>
    <w:p w:rsidR="00977249" w:rsidRPr="001B140F" w:rsidRDefault="00977249" w:rsidP="001B140F">
      <w:pPr>
        <w:pStyle w:val="SemEspaamento"/>
        <w:spacing w:line="360" w:lineRule="auto"/>
        <w:ind w:left="426" w:hanging="426"/>
        <w:jc w:val="both"/>
        <w:rPr>
          <w:rFonts w:ascii="Times New Roman" w:hAnsi="Times New Roman"/>
          <w:sz w:val="24"/>
          <w:szCs w:val="24"/>
        </w:rPr>
      </w:pPr>
    </w:p>
    <w:p w:rsidR="00977249" w:rsidRPr="00E95B31" w:rsidRDefault="00977249" w:rsidP="001B140F">
      <w:pPr>
        <w:pStyle w:val="SemEspaamento"/>
        <w:jc w:val="both"/>
        <w:rPr>
          <w:rFonts w:ascii="Times New Roman" w:eastAsia="Arial Unicode MS" w:hAnsi="Times New Roman"/>
          <w:sz w:val="24"/>
          <w:szCs w:val="24"/>
          <w:lang w:val="en-US"/>
        </w:rPr>
      </w:pPr>
      <w:r w:rsidRPr="00E95B31">
        <w:rPr>
          <w:rFonts w:ascii="Times New Roman" w:hAnsi="Times New Roman"/>
          <w:sz w:val="24"/>
          <w:szCs w:val="24"/>
        </w:rPr>
        <w:t xml:space="preserve">ALAMANOU, S. et al. </w:t>
      </w:r>
      <w:r w:rsidRPr="00E95B31">
        <w:rPr>
          <w:rFonts w:ascii="Times New Roman" w:hAnsi="Times New Roman"/>
          <w:sz w:val="24"/>
          <w:szCs w:val="24"/>
          <w:lang w:val="en-US"/>
        </w:rPr>
        <w:t xml:space="preserve">Influence of protein isolate from lupin seed (Lupinusalbus. ssp. Graecus) on processing and quality characteristics of frankfurters. </w:t>
      </w:r>
      <w:r w:rsidRPr="00E95B31">
        <w:rPr>
          <w:rFonts w:ascii="Times New Roman" w:hAnsi="Times New Roman"/>
          <w:b/>
          <w:bCs/>
          <w:sz w:val="24"/>
          <w:szCs w:val="24"/>
          <w:lang w:val="en-US"/>
        </w:rPr>
        <w:t>Meat Science</w:t>
      </w:r>
      <w:r w:rsidRPr="00E95B31">
        <w:rPr>
          <w:rFonts w:ascii="Times New Roman" w:hAnsi="Times New Roman"/>
          <w:bCs/>
          <w:sz w:val="24"/>
          <w:szCs w:val="24"/>
          <w:lang w:val="en-US"/>
        </w:rPr>
        <w:t>,</w:t>
      </w:r>
      <w:r w:rsidR="00FE03F6" w:rsidRPr="00E95B31">
        <w:rPr>
          <w:rFonts w:ascii="Times New Roman" w:hAnsi="Times New Roman"/>
          <w:sz w:val="24"/>
          <w:szCs w:val="24"/>
          <w:lang w:val="en-US"/>
        </w:rPr>
        <w:t xml:space="preserve"> Champaign,</w:t>
      </w:r>
      <w:r w:rsidRPr="00E95B31">
        <w:rPr>
          <w:rFonts w:ascii="Times New Roman" w:hAnsi="Times New Roman"/>
          <w:b/>
          <w:bCs/>
          <w:sz w:val="24"/>
          <w:szCs w:val="24"/>
          <w:lang w:val="en-US"/>
        </w:rPr>
        <w:t xml:space="preserve"> </w:t>
      </w:r>
      <w:r w:rsidRPr="00E95B31">
        <w:rPr>
          <w:rFonts w:ascii="Times New Roman" w:hAnsi="Times New Roman"/>
          <w:sz w:val="24"/>
          <w:szCs w:val="24"/>
          <w:lang w:val="en-US"/>
        </w:rPr>
        <w:t xml:space="preserve">v.42, n.1, p.79-93, 1996. </w:t>
      </w:r>
    </w:p>
    <w:p w:rsidR="00977249" w:rsidRPr="00E95B31" w:rsidRDefault="00977249" w:rsidP="001B140F">
      <w:pPr>
        <w:pStyle w:val="SemEspaamento"/>
        <w:jc w:val="both"/>
        <w:rPr>
          <w:rFonts w:ascii="Times New Roman" w:hAnsi="Times New Roman"/>
          <w:sz w:val="24"/>
          <w:szCs w:val="24"/>
        </w:rPr>
      </w:pPr>
      <w:r w:rsidRPr="00E95B31">
        <w:rPr>
          <w:rFonts w:ascii="Times New Roman" w:hAnsi="Times New Roman"/>
          <w:sz w:val="24"/>
          <w:szCs w:val="24"/>
          <w:lang w:val="en-US"/>
        </w:rPr>
        <w:t xml:space="preserve">AOAC International. </w:t>
      </w:r>
      <w:r w:rsidRPr="00E95B31">
        <w:rPr>
          <w:rFonts w:ascii="Times New Roman" w:hAnsi="Times New Roman"/>
          <w:b/>
          <w:bCs/>
          <w:sz w:val="24"/>
          <w:szCs w:val="24"/>
          <w:lang w:val="en-US"/>
        </w:rPr>
        <w:t>Official Methods of Analysis of AOAC International</w:t>
      </w:r>
      <w:r w:rsidRPr="00E95B31">
        <w:rPr>
          <w:rFonts w:ascii="Times New Roman" w:hAnsi="Times New Roman"/>
          <w:sz w:val="24"/>
          <w:szCs w:val="24"/>
          <w:lang w:val="en-US"/>
        </w:rPr>
        <w:t xml:space="preserve">. </w:t>
      </w:r>
      <w:r w:rsidRPr="00E95B31">
        <w:rPr>
          <w:rFonts w:ascii="Times New Roman" w:hAnsi="Times New Roman"/>
          <w:sz w:val="24"/>
          <w:szCs w:val="24"/>
        </w:rPr>
        <w:t>18 ed. 4 rev. Gaithersburg: MD, USA, 2011.</w:t>
      </w:r>
    </w:p>
    <w:p w:rsidR="00977249" w:rsidRPr="00E95B31" w:rsidRDefault="00F45055" w:rsidP="001B140F">
      <w:pPr>
        <w:pStyle w:val="SemEspaamento"/>
        <w:jc w:val="both"/>
        <w:rPr>
          <w:rFonts w:ascii="Times New Roman" w:hAnsi="Times New Roman"/>
          <w:sz w:val="24"/>
          <w:szCs w:val="24"/>
        </w:rPr>
      </w:pPr>
      <w:r w:rsidRPr="00E95B31">
        <w:rPr>
          <w:rFonts w:ascii="Times New Roman" w:hAnsi="Times New Roman"/>
          <w:sz w:val="24"/>
          <w:szCs w:val="24"/>
        </w:rPr>
        <w:t>APLEVLICZ, K.S.;</w:t>
      </w:r>
      <w:r w:rsidR="00977249" w:rsidRPr="00E95B31">
        <w:rPr>
          <w:rFonts w:ascii="Times New Roman" w:hAnsi="Times New Roman"/>
          <w:sz w:val="24"/>
          <w:szCs w:val="24"/>
        </w:rPr>
        <w:t xml:space="preserve"> DIAS, L.F. Suplementação de inulina em biscoitos tipo cookie. </w:t>
      </w:r>
      <w:r w:rsidR="00977249" w:rsidRPr="00E95B31">
        <w:rPr>
          <w:rFonts w:ascii="Times New Roman" w:hAnsi="Times New Roman"/>
          <w:b/>
          <w:bCs/>
          <w:sz w:val="24"/>
          <w:szCs w:val="24"/>
        </w:rPr>
        <w:t>Food Ingredients Brasil</w:t>
      </w:r>
      <w:r w:rsidR="00977249" w:rsidRPr="00E95B31">
        <w:rPr>
          <w:rFonts w:ascii="Times New Roman" w:hAnsi="Times New Roman"/>
          <w:sz w:val="24"/>
          <w:szCs w:val="24"/>
        </w:rPr>
        <w:t>,</w:t>
      </w:r>
      <w:r w:rsidR="00FE03F6" w:rsidRPr="00E95B31">
        <w:rPr>
          <w:rFonts w:ascii="Times New Roman" w:hAnsi="Times New Roman"/>
          <w:sz w:val="24"/>
          <w:szCs w:val="24"/>
        </w:rPr>
        <w:t xml:space="preserve"> São Paulo, </w:t>
      </w:r>
      <w:r w:rsidR="00977249" w:rsidRPr="00E95B31">
        <w:rPr>
          <w:rFonts w:ascii="Times New Roman" w:hAnsi="Times New Roman"/>
          <w:sz w:val="24"/>
          <w:szCs w:val="24"/>
        </w:rPr>
        <w:t>v.1, n.11, p.34-38, 2010.</w:t>
      </w:r>
    </w:p>
    <w:p w:rsidR="00977249" w:rsidRPr="00E95B31" w:rsidRDefault="00977249" w:rsidP="001B140F">
      <w:pPr>
        <w:pStyle w:val="SemEspaamento"/>
        <w:jc w:val="both"/>
        <w:rPr>
          <w:rFonts w:ascii="Times New Roman" w:hAnsi="Times New Roman"/>
          <w:sz w:val="24"/>
          <w:szCs w:val="24"/>
        </w:rPr>
      </w:pPr>
      <w:r w:rsidRPr="00E95B31">
        <w:rPr>
          <w:rFonts w:ascii="Times New Roman" w:hAnsi="Times New Roman"/>
          <w:sz w:val="24"/>
          <w:szCs w:val="24"/>
        </w:rPr>
        <w:t>BENEO</w:t>
      </w:r>
      <w:r w:rsidRPr="00E95B31">
        <w:rPr>
          <w:rFonts w:ascii="Times New Roman" w:hAnsi="Times New Roman"/>
          <w:sz w:val="24"/>
          <w:szCs w:val="24"/>
          <w:vertAlign w:val="superscript"/>
        </w:rPr>
        <w:t>®</w:t>
      </w:r>
      <w:r w:rsidRPr="00E95B31">
        <w:rPr>
          <w:rFonts w:ascii="Times New Roman" w:hAnsi="Times New Roman"/>
          <w:sz w:val="24"/>
          <w:szCs w:val="24"/>
        </w:rPr>
        <w:t xml:space="preserve"> HP. </w:t>
      </w:r>
      <w:r w:rsidRPr="00E95B31">
        <w:rPr>
          <w:rFonts w:ascii="Times New Roman" w:hAnsi="Times New Roman"/>
          <w:b/>
          <w:bCs/>
          <w:sz w:val="24"/>
          <w:szCs w:val="24"/>
          <w:lang w:val="en-US"/>
        </w:rPr>
        <w:t>Product Sheet Beneo</w:t>
      </w:r>
      <w:r w:rsidRPr="00E95B31">
        <w:rPr>
          <w:rFonts w:ascii="Times New Roman" w:hAnsi="Times New Roman"/>
          <w:b/>
          <w:bCs/>
          <w:sz w:val="24"/>
          <w:szCs w:val="24"/>
          <w:vertAlign w:val="superscript"/>
          <w:lang w:val="en-US"/>
        </w:rPr>
        <w:t>®</w:t>
      </w:r>
      <w:r w:rsidRPr="00E95B31">
        <w:rPr>
          <w:rFonts w:ascii="Times New Roman" w:hAnsi="Times New Roman"/>
          <w:b/>
          <w:bCs/>
          <w:sz w:val="24"/>
          <w:szCs w:val="24"/>
          <w:lang w:val="en-US"/>
        </w:rPr>
        <w:t xml:space="preserve"> HP, Orafti,</w:t>
      </w:r>
      <w:r w:rsidRPr="00E95B31">
        <w:rPr>
          <w:rFonts w:ascii="Times New Roman" w:hAnsi="Times New Roman"/>
          <w:sz w:val="24"/>
          <w:szCs w:val="24"/>
          <w:lang w:val="en-US"/>
        </w:rPr>
        <w:t xml:space="preserve"> </w:t>
      </w:r>
      <w:r w:rsidRPr="00E95B31">
        <w:rPr>
          <w:rFonts w:ascii="Times New Roman" w:hAnsi="Times New Roman"/>
          <w:b/>
          <w:bCs/>
          <w:sz w:val="24"/>
          <w:szCs w:val="24"/>
          <w:lang w:val="en-US"/>
        </w:rPr>
        <w:t>DOC.A4-05*01/02-B</w:t>
      </w:r>
      <w:r w:rsidRPr="00E95B31">
        <w:rPr>
          <w:rFonts w:ascii="Times New Roman" w:hAnsi="Times New Roman"/>
          <w:sz w:val="24"/>
          <w:szCs w:val="24"/>
          <w:lang w:val="en-US"/>
        </w:rPr>
        <w:t xml:space="preserve">. </w:t>
      </w:r>
      <w:r w:rsidRPr="00E95B31">
        <w:rPr>
          <w:rFonts w:ascii="Times New Roman" w:hAnsi="Times New Roman"/>
          <w:sz w:val="24"/>
          <w:szCs w:val="24"/>
        </w:rPr>
        <w:t xml:space="preserve">Disponível em: http://www.orafti.com. Acesso em: </w:t>
      </w:r>
      <w:r w:rsidR="00FE03F6" w:rsidRPr="00E95B31">
        <w:rPr>
          <w:rFonts w:ascii="Times New Roman" w:hAnsi="Times New Roman"/>
          <w:sz w:val="24"/>
          <w:szCs w:val="24"/>
        </w:rPr>
        <w:t xml:space="preserve">25 abr </w:t>
      </w:r>
      <w:r w:rsidRPr="00E95B31">
        <w:rPr>
          <w:rFonts w:ascii="Times New Roman" w:hAnsi="Times New Roman"/>
          <w:sz w:val="24"/>
          <w:szCs w:val="24"/>
        </w:rPr>
        <w:t>2</w:t>
      </w:r>
      <w:r w:rsidR="00FE03F6" w:rsidRPr="00E95B31">
        <w:rPr>
          <w:rFonts w:ascii="Times New Roman" w:hAnsi="Times New Roman"/>
          <w:sz w:val="24"/>
          <w:szCs w:val="24"/>
        </w:rPr>
        <w:t>013</w:t>
      </w:r>
      <w:r w:rsidRPr="00E95B31">
        <w:rPr>
          <w:rFonts w:ascii="Times New Roman" w:hAnsi="Times New Roman"/>
          <w:sz w:val="24"/>
          <w:szCs w:val="24"/>
        </w:rPr>
        <w:t>.</w:t>
      </w:r>
    </w:p>
    <w:p w:rsidR="00977249" w:rsidRPr="00E95B31" w:rsidRDefault="00977249" w:rsidP="001B140F">
      <w:pPr>
        <w:pStyle w:val="SemEspaamento"/>
        <w:tabs>
          <w:tab w:val="left" w:pos="180"/>
        </w:tabs>
        <w:jc w:val="both"/>
        <w:rPr>
          <w:rFonts w:ascii="Times New Roman" w:hAnsi="Times New Roman"/>
          <w:sz w:val="24"/>
          <w:szCs w:val="24"/>
          <w:lang w:val="en-US"/>
        </w:rPr>
      </w:pPr>
      <w:r w:rsidRPr="00E95B31">
        <w:rPr>
          <w:rFonts w:ascii="Times New Roman" w:hAnsi="Times New Roman"/>
          <w:sz w:val="24"/>
          <w:szCs w:val="24"/>
          <w:lang w:val="en-US"/>
        </w:rPr>
        <w:t xml:space="preserve">BLIGH, E.G.; DYER, W.J. A rapid method of total lipid extraction and purification. </w:t>
      </w:r>
      <w:r w:rsidRPr="00E95B31">
        <w:rPr>
          <w:rFonts w:ascii="Times New Roman" w:hAnsi="Times New Roman"/>
          <w:b/>
          <w:bCs/>
          <w:sz w:val="24"/>
          <w:szCs w:val="24"/>
          <w:lang w:val="en-US"/>
        </w:rPr>
        <w:t>Canadian journal of biochemistry and physiology</w:t>
      </w:r>
      <w:r w:rsidRPr="00E95B31">
        <w:rPr>
          <w:rFonts w:ascii="Times New Roman" w:hAnsi="Times New Roman"/>
          <w:sz w:val="24"/>
          <w:szCs w:val="24"/>
          <w:lang w:val="en-US"/>
        </w:rPr>
        <w:t xml:space="preserve">, </w:t>
      </w:r>
      <w:r w:rsidR="00EB2C1A" w:rsidRPr="00E95B31">
        <w:rPr>
          <w:rFonts w:ascii="Times New Roman" w:hAnsi="Times New Roman"/>
          <w:sz w:val="24"/>
          <w:szCs w:val="24"/>
          <w:lang w:val="en-US"/>
        </w:rPr>
        <w:t>Ottawa,</w:t>
      </w:r>
      <w:r w:rsidR="00EB2C1A" w:rsidRPr="00E95B31">
        <w:rPr>
          <w:rFonts w:ascii="Arial" w:hAnsi="Arial" w:cs="Arial"/>
          <w:sz w:val="24"/>
          <w:szCs w:val="24"/>
          <w:lang w:val="en-US"/>
        </w:rPr>
        <w:t xml:space="preserve"> </w:t>
      </w:r>
      <w:r w:rsidRPr="00E95B31">
        <w:rPr>
          <w:rFonts w:ascii="Times New Roman" w:hAnsi="Times New Roman"/>
          <w:sz w:val="24"/>
          <w:szCs w:val="24"/>
          <w:lang w:val="en-US"/>
        </w:rPr>
        <w:t>v.37, n.8, p.911-917, 1959.</w:t>
      </w:r>
    </w:p>
    <w:p w:rsidR="00193D23" w:rsidRPr="00E95B31" w:rsidRDefault="006119A4" w:rsidP="001B140F">
      <w:pPr>
        <w:jc w:val="both"/>
      </w:pPr>
      <w:hyperlink r:id="rId14" w:history="1">
        <w:r w:rsidR="00A92F18" w:rsidRPr="00E95B31">
          <w:rPr>
            <w:rStyle w:val="Hyperlink"/>
            <w:lang w:val="en-US"/>
          </w:rPr>
          <w:t>ISIK, U</w:t>
        </w:r>
      </w:hyperlink>
      <w:r w:rsidR="00A92F18" w:rsidRPr="00E95B31">
        <w:rPr>
          <w:lang w:val="en-US"/>
        </w:rPr>
        <w:t xml:space="preserve">.; </w:t>
      </w:r>
      <w:hyperlink r:id="rId15" w:history="1">
        <w:r w:rsidR="00A92F18" w:rsidRPr="00E95B31">
          <w:rPr>
            <w:rStyle w:val="Hyperlink"/>
            <w:lang w:val="en-US"/>
          </w:rPr>
          <w:t>BOYACIOGLU, D</w:t>
        </w:r>
      </w:hyperlink>
      <w:r w:rsidR="00A92F18" w:rsidRPr="00E95B31">
        <w:rPr>
          <w:lang w:val="en-US"/>
        </w:rPr>
        <w:t xml:space="preserve">.; </w:t>
      </w:r>
      <w:hyperlink r:id="rId16" w:history="1">
        <w:r w:rsidR="00A92F18" w:rsidRPr="00E95B31">
          <w:rPr>
            <w:rStyle w:val="Hyperlink"/>
            <w:lang w:val="en-US"/>
          </w:rPr>
          <w:t>CAPANOGLU, E</w:t>
        </w:r>
      </w:hyperlink>
      <w:r w:rsidR="00A92F18" w:rsidRPr="00E95B31">
        <w:rPr>
          <w:lang w:val="en-US"/>
        </w:rPr>
        <w:t xml:space="preserve">.; </w:t>
      </w:r>
      <w:r w:rsidR="00A92F18" w:rsidRPr="00E95B31">
        <w:rPr>
          <w:rStyle w:val="highlight"/>
          <w:lang w:val="en-US"/>
        </w:rPr>
        <w:t>ERDIL, D.N</w:t>
      </w:r>
      <w:r w:rsidR="00A92F18" w:rsidRPr="00E95B31">
        <w:rPr>
          <w:lang w:val="en-US"/>
        </w:rPr>
        <w:t xml:space="preserve">. </w:t>
      </w:r>
      <w:r w:rsidR="00193D23" w:rsidRPr="00E95B31">
        <w:rPr>
          <w:lang w:val="en-US"/>
        </w:rPr>
        <w:t xml:space="preserve">Frozen yogurt with added inulin and isomalt. </w:t>
      </w:r>
      <w:r w:rsidR="00193D23" w:rsidRPr="00E95B31">
        <w:rPr>
          <w:b/>
        </w:rPr>
        <w:t>Journal of Dairy Science</w:t>
      </w:r>
      <w:r w:rsidR="00193D23" w:rsidRPr="00E95B31">
        <w:t xml:space="preserve">, </w:t>
      </w:r>
      <w:r w:rsidR="00EB2C1A" w:rsidRPr="00E95B31">
        <w:t xml:space="preserve">Champaign, </w:t>
      </w:r>
      <w:r w:rsidR="00193D23" w:rsidRPr="00E95B31">
        <w:t>v.94, n.4, p.1647-1656, 2011.</w:t>
      </w:r>
    </w:p>
    <w:p w:rsidR="00977249" w:rsidRPr="00E95B31" w:rsidRDefault="00977249" w:rsidP="001B140F">
      <w:pPr>
        <w:pStyle w:val="NormalWeb"/>
        <w:spacing w:before="0" w:beforeAutospacing="0" w:after="0" w:afterAutospacing="0"/>
        <w:jc w:val="both"/>
        <w:rPr>
          <w:sz w:val="24"/>
          <w:szCs w:val="24"/>
        </w:rPr>
      </w:pPr>
      <w:r w:rsidRPr="00E95B31">
        <w:rPr>
          <w:sz w:val="24"/>
          <w:szCs w:val="24"/>
        </w:rPr>
        <w:t xml:space="preserve">BRASIL. Ministério da Saúde. Agência Nacional de Vigilância Sanitária. </w:t>
      </w:r>
      <w:r w:rsidRPr="00E95B31">
        <w:rPr>
          <w:b/>
          <w:sz w:val="24"/>
          <w:szCs w:val="24"/>
        </w:rPr>
        <w:t>Resolução RDC nº 90</w:t>
      </w:r>
      <w:r w:rsidRPr="00E95B31">
        <w:rPr>
          <w:sz w:val="24"/>
          <w:szCs w:val="24"/>
        </w:rPr>
        <w:t xml:space="preserve">, de 18 de outubro de 2000. Aprova o regulamento técnico para fixação de identidade e qualidade de pão. </w:t>
      </w:r>
      <w:r w:rsidRPr="00E95B31">
        <w:rPr>
          <w:bCs/>
          <w:sz w:val="24"/>
          <w:szCs w:val="24"/>
        </w:rPr>
        <w:t>Diário Oficial da República Federativa do Brasil</w:t>
      </w:r>
      <w:r w:rsidRPr="00E95B31">
        <w:rPr>
          <w:sz w:val="24"/>
          <w:szCs w:val="24"/>
        </w:rPr>
        <w:t>, Brasília, DF, 2000</w:t>
      </w:r>
      <w:r w:rsidRPr="00E95B31">
        <w:rPr>
          <w:sz w:val="24"/>
          <w:szCs w:val="24"/>
          <w:shd w:val="clear" w:color="auto" w:fill="FFFFFF"/>
        </w:rPr>
        <w:t>.</w:t>
      </w:r>
    </w:p>
    <w:p w:rsidR="00977249" w:rsidRPr="00E95B31" w:rsidRDefault="00977249" w:rsidP="001B140F">
      <w:pPr>
        <w:pStyle w:val="NormalWeb"/>
        <w:spacing w:before="0" w:beforeAutospacing="0" w:after="0" w:afterAutospacing="0"/>
        <w:jc w:val="both"/>
        <w:rPr>
          <w:sz w:val="24"/>
          <w:szCs w:val="24"/>
        </w:rPr>
      </w:pPr>
      <w:r w:rsidRPr="00E95B31">
        <w:rPr>
          <w:sz w:val="24"/>
          <w:szCs w:val="24"/>
        </w:rPr>
        <w:t xml:space="preserve">BRASIL. Ministério da Educação. Fundo Nacional de Desenvolvimento da Educação. </w:t>
      </w:r>
      <w:r w:rsidRPr="00E95B31">
        <w:rPr>
          <w:b/>
          <w:bCs/>
          <w:sz w:val="24"/>
          <w:szCs w:val="24"/>
        </w:rPr>
        <w:t>Resolução/FNDE/CD/ n.38</w:t>
      </w:r>
      <w:r w:rsidRPr="00E95B31">
        <w:rPr>
          <w:sz w:val="24"/>
          <w:szCs w:val="24"/>
        </w:rPr>
        <w:t>, de 16 de Julho de 2009. PNAE. Brasília, DF, 2009.</w:t>
      </w:r>
    </w:p>
    <w:p w:rsidR="00977249" w:rsidRPr="00E95B31" w:rsidRDefault="00977249" w:rsidP="001B140F">
      <w:pPr>
        <w:pStyle w:val="ListParagraph1"/>
        <w:spacing w:after="0" w:line="240" w:lineRule="auto"/>
        <w:ind w:left="0"/>
        <w:jc w:val="both"/>
        <w:rPr>
          <w:rFonts w:ascii="Times New Roman" w:hAnsi="Times New Roman" w:cs="Times New Roman"/>
          <w:sz w:val="24"/>
          <w:szCs w:val="24"/>
        </w:rPr>
      </w:pPr>
      <w:r w:rsidRPr="00E95B31">
        <w:rPr>
          <w:rFonts w:ascii="Times New Roman" w:hAnsi="Times New Roman" w:cs="Times New Roman"/>
          <w:sz w:val="24"/>
          <w:szCs w:val="24"/>
        </w:rPr>
        <w:lastRenderedPageBreak/>
        <w:t xml:space="preserve">BRASIL. Ministério da Saúde. Secretaria de Vigilância Sanitária (SVS/MS). </w:t>
      </w:r>
      <w:r w:rsidRPr="00E95B31">
        <w:rPr>
          <w:rFonts w:ascii="Times New Roman" w:hAnsi="Times New Roman" w:cs="Times New Roman"/>
          <w:b/>
          <w:sz w:val="24"/>
          <w:szCs w:val="24"/>
        </w:rPr>
        <w:t>Portaria n</w:t>
      </w:r>
      <w:r w:rsidR="004958DF" w:rsidRPr="00E95B31">
        <w:rPr>
          <w:rFonts w:ascii="Times New Roman" w:hAnsi="Times New Roman" w:cs="Times New Roman"/>
          <w:b/>
          <w:sz w:val="24"/>
          <w:szCs w:val="24"/>
        </w:rPr>
        <w:t>º</w:t>
      </w:r>
      <w:r w:rsidRPr="00E95B31">
        <w:rPr>
          <w:rFonts w:ascii="Times New Roman" w:hAnsi="Times New Roman" w:cs="Times New Roman"/>
          <w:b/>
          <w:sz w:val="24"/>
          <w:szCs w:val="24"/>
        </w:rPr>
        <w:t xml:space="preserve"> 27</w:t>
      </w:r>
      <w:r w:rsidRPr="00E95B31">
        <w:rPr>
          <w:rFonts w:ascii="Times New Roman" w:hAnsi="Times New Roman" w:cs="Times New Roman"/>
          <w:sz w:val="24"/>
          <w:szCs w:val="24"/>
        </w:rPr>
        <w:t xml:space="preserve">, de 13 de janeiro de 1998. Regulamento técnico referente à informação nutricional complementar. Brasília, DF: </w:t>
      </w:r>
      <w:r w:rsidRPr="00E95B31">
        <w:rPr>
          <w:rFonts w:ascii="Times New Roman" w:hAnsi="Times New Roman" w:cs="Times New Roman"/>
          <w:bCs/>
          <w:sz w:val="24"/>
          <w:szCs w:val="24"/>
        </w:rPr>
        <w:t>Diário Oficial da República Federativa do Brasil</w:t>
      </w:r>
      <w:r w:rsidRPr="00E95B31">
        <w:rPr>
          <w:rFonts w:ascii="Times New Roman" w:hAnsi="Times New Roman" w:cs="Times New Roman"/>
          <w:sz w:val="24"/>
          <w:szCs w:val="24"/>
        </w:rPr>
        <w:t xml:space="preserve">, Brasília, DF, 1998. </w:t>
      </w:r>
    </w:p>
    <w:p w:rsidR="00977249" w:rsidRPr="00E95B31" w:rsidRDefault="00977249" w:rsidP="001B140F">
      <w:pPr>
        <w:pStyle w:val="ListParagraph1"/>
        <w:spacing w:after="0" w:line="240" w:lineRule="auto"/>
        <w:ind w:left="0"/>
        <w:jc w:val="both"/>
        <w:rPr>
          <w:rFonts w:ascii="Times New Roman" w:hAnsi="Times New Roman" w:cs="Times New Roman"/>
          <w:sz w:val="24"/>
          <w:szCs w:val="24"/>
          <w:lang w:val="en-US"/>
        </w:rPr>
      </w:pPr>
      <w:r w:rsidRPr="00E95B31">
        <w:rPr>
          <w:rFonts w:ascii="Times New Roman" w:hAnsi="Times New Roman" w:cs="Times New Roman"/>
          <w:sz w:val="24"/>
          <w:szCs w:val="24"/>
          <w:lang w:val="en-US"/>
        </w:rPr>
        <w:t xml:space="preserve">DIETARY REFERENCE INTAKES (DRI). </w:t>
      </w:r>
      <w:r w:rsidRPr="00E95B31">
        <w:rPr>
          <w:rFonts w:ascii="Times New Roman" w:hAnsi="Times New Roman" w:cs="Times New Roman"/>
          <w:b/>
          <w:bCs/>
          <w:sz w:val="24"/>
          <w:szCs w:val="24"/>
          <w:lang w:val="en-US"/>
        </w:rPr>
        <w:t>Dietary Reference Intakes for energy, carbohydrate, fiber, fat, fatty acids, cholesterol, protein and amino acids</w:t>
      </w:r>
      <w:r w:rsidRPr="00E95B31">
        <w:rPr>
          <w:rFonts w:ascii="Times New Roman" w:hAnsi="Times New Roman" w:cs="Times New Roman"/>
          <w:sz w:val="24"/>
          <w:szCs w:val="24"/>
          <w:lang w:val="en-US"/>
        </w:rPr>
        <w:t>. Washington, D.C.: The National Academies Press, 2005.</w:t>
      </w:r>
    </w:p>
    <w:p w:rsidR="00CF5132" w:rsidRPr="00E95B31" w:rsidRDefault="00CF5132" w:rsidP="001B140F">
      <w:pPr>
        <w:pStyle w:val="ListParagraph2"/>
        <w:tabs>
          <w:tab w:val="left" w:pos="180"/>
        </w:tabs>
        <w:spacing w:after="0" w:line="240" w:lineRule="auto"/>
        <w:ind w:left="0"/>
        <w:jc w:val="both"/>
        <w:rPr>
          <w:rFonts w:ascii="Times New Roman" w:hAnsi="Times New Roman" w:cs="Times New Roman"/>
          <w:sz w:val="24"/>
          <w:szCs w:val="24"/>
          <w:lang w:val="en-US"/>
        </w:rPr>
      </w:pPr>
      <w:r w:rsidRPr="00E95B31">
        <w:rPr>
          <w:rFonts w:ascii="Times New Roman" w:hAnsi="Times New Roman" w:cs="Times New Roman"/>
          <w:sz w:val="24"/>
          <w:szCs w:val="24"/>
          <w:lang w:val="en-US"/>
        </w:rPr>
        <w:t xml:space="preserve">DUTCOSKY, S.D. </w:t>
      </w:r>
      <w:r w:rsidRPr="00E95B31">
        <w:rPr>
          <w:rFonts w:ascii="Times New Roman" w:hAnsi="Times New Roman" w:cs="Times New Roman"/>
          <w:b/>
          <w:bCs/>
          <w:sz w:val="24"/>
          <w:szCs w:val="24"/>
          <w:lang w:val="en-US"/>
        </w:rPr>
        <w:t>Análise sensorial de alimentos</w:t>
      </w:r>
      <w:r w:rsidRPr="00E95B31">
        <w:rPr>
          <w:rFonts w:ascii="Times New Roman" w:hAnsi="Times New Roman" w:cs="Times New Roman"/>
          <w:sz w:val="24"/>
          <w:szCs w:val="24"/>
          <w:lang w:val="en-US"/>
        </w:rPr>
        <w:t>. 3 ed. Curitiba: Champagnat, 2011.</w:t>
      </w:r>
    </w:p>
    <w:p w:rsidR="00977249" w:rsidRPr="00E95B31" w:rsidRDefault="00977249" w:rsidP="001B140F">
      <w:pPr>
        <w:pStyle w:val="SemEspaamento"/>
        <w:jc w:val="both"/>
        <w:rPr>
          <w:rFonts w:ascii="Times New Roman" w:hAnsi="Times New Roman"/>
          <w:sz w:val="24"/>
          <w:szCs w:val="24"/>
          <w:lang w:val="en-US"/>
        </w:rPr>
      </w:pPr>
      <w:r w:rsidRPr="00E95B31">
        <w:rPr>
          <w:rFonts w:ascii="Times New Roman" w:hAnsi="Times New Roman"/>
          <w:sz w:val="24"/>
          <w:szCs w:val="24"/>
          <w:lang w:val="en-US"/>
        </w:rPr>
        <w:t xml:space="preserve">FRANCK, A. Technological functionality of inulin and oligofrutose. </w:t>
      </w:r>
      <w:r w:rsidRPr="00E95B31">
        <w:rPr>
          <w:rFonts w:ascii="Times New Roman" w:hAnsi="Times New Roman"/>
          <w:b/>
          <w:bCs/>
          <w:sz w:val="24"/>
          <w:szCs w:val="24"/>
          <w:lang w:val="en-US"/>
        </w:rPr>
        <w:t xml:space="preserve">British Journal of Nutrition, </w:t>
      </w:r>
      <w:r w:rsidR="004958DF" w:rsidRPr="00E95B31">
        <w:rPr>
          <w:rFonts w:ascii="Times New Roman" w:hAnsi="Times New Roman"/>
          <w:bCs/>
          <w:sz w:val="24"/>
          <w:szCs w:val="24"/>
          <w:lang w:val="en-US"/>
        </w:rPr>
        <w:t>London,</w:t>
      </w:r>
      <w:r w:rsidR="004958DF" w:rsidRPr="00E95B31">
        <w:rPr>
          <w:rFonts w:ascii="Times New Roman" w:hAnsi="Times New Roman"/>
          <w:b/>
          <w:bCs/>
          <w:sz w:val="24"/>
          <w:szCs w:val="24"/>
          <w:lang w:val="en-US"/>
        </w:rPr>
        <w:t xml:space="preserve"> </w:t>
      </w:r>
      <w:r w:rsidRPr="00E95B31">
        <w:rPr>
          <w:rFonts w:ascii="Times New Roman" w:hAnsi="Times New Roman"/>
          <w:sz w:val="24"/>
          <w:szCs w:val="24"/>
          <w:lang w:val="en-US"/>
        </w:rPr>
        <w:t xml:space="preserve">v.87, n.2, p. 287-291, 2002. </w:t>
      </w:r>
    </w:p>
    <w:p w:rsidR="000502FF" w:rsidRPr="00E95B31" w:rsidRDefault="00B80A24" w:rsidP="001B140F">
      <w:pPr>
        <w:tabs>
          <w:tab w:val="left" w:pos="720"/>
        </w:tabs>
        <w:jc w:val="both"/>
      </w:pPr>
      <w:r w:rsidRPr="00E95B31">
        <w:rPr>
          <w:lang w:val="en-US"/>
        </w:rPr>
        <w:t>GRANATO, D.</w:t>
      </w:r>
      <w:r w:rsidR="00BE5951" w:rsidRPr="00E95B31">
        <w:rPr>
          <w:lang w:val="en-US"/>
        </w:rPr>
        <w:t>;</w:t>
      </w:r>
      <w:r w:rsidRPr="00E95B31">
        <w:rPr>
          <w:lang w:val="en-US"/>
        </w:rPr>
        <w:t xml:space="preserve"> </w:t>
      </w:r>
      <w:r w:rsidR="00BE5951" w:rsidRPr="00E95B31">
        <w:rPr>
          <w:bCs/>
          <w:lang w:val="en-US"/>
        </w:rPr>
        <w:t>MASSON, M.L.; RIBEIRO, J.C.B</w:t>
      </w:r>
      <w:r w:rsidR="000502FF" w:rsidRPr="00E95B31">
        <w:rPr>
          <w:lang w:val="en-US"/>
        </w:rPr>
        <w:t xml:space="preserve">. Sensory acceptability and physical stability assessment of a prebiotic soy-based dessert developed with passion fruit juice. </w:t>
      </w:r>
      <w:r w:rsidR="000502FF" w:rsidRPr="00E95B31">
        <w:rPr>
          <w:b/>
        </w:rPr>
        <w:t>Ciência e Tecnologia de Alimentos</w:t>
      </w:r>
      <w:r w:rsidR="000502FF" w:rsidRPr="00E95B31">
        <w:t xml:space="preserve">, </w:t>
      </w:r>
      <w:r w:rsidR="004958DF" w:rsidRPr="00E95B31">
        <w:t xml:space="preserve">Campinas, </w:t>
      </w:r>
      <w:r w:rsidR="000502FF" w:rsidRPr="00E95B31">
        <w:t>v.</w:t>
      </w:r>
      <w:r w:rsidR="004958DF" w:rsidRPr="00E95B31">
        <w:t>32, n.1, p.</w:t>
      </w:r>
      <w:r w:rsidR="000502FF" w:rsidRPr="00E95B31">
        <w:t>119-125, 2012.</w:t>
      </w:r>
    </w:p>
    <w:p w:rsidR="00977249" w:rsidRPr="00E95B31" w:rsidRDefault="00B80A24" w:rsidP="001B140F">
      <w:pPr>
        <w:tabs>
          <w:tab w:val="left" w:pos="720"/>
        </w:tabs>
        <w:jc w:val="both"/>
        <w:rPr>
          <w:lang w:val="en-US"/>
        </w:rPr>
      </w:pPr>
      <w:r w:rsidRPr="00E95B31">
        <w:t xml:space="preserve">HERNÁNDEZ, T. </w:t>
      </w:r>
      <w:r w:rsidR="00BE5951" w:rsidRPr="00E95B31">
        <w:rPr>
          <w:rStyle w:val="st"/>
        </w:rPr>
        <w:t>HERNÁNDEZ, A.; MARTINEZ, C</w:t>
      </w:r>
      <w:r w:rsidR="00977249" w:rsidRPr="00E95B31">
        <w:t xml:space="preserve">. Concepto, propriedades y metodos de analisis. </w:t>
      </w:r>
      <w:r w:rsidR="00977249" w:rsidRPr="00E95B31">
        <w:rPr>
          <w:b/>
          <w:bCs/>
          <w:lang w:val="en-US"/>
        </w:rPr>
        <w:t>Revista Alimentaria</w:t>
      </w:r>
      <w:r w:rsidR="00977249" w:rsidRPr="00E95B31">
        <w:rPr>
          <w:lang w:val="en-US"/>
        </w:rPr>
        <w:t xml:space="preserve">, </w:t>
      </w:r>
      <w:r w:rsidR="004958DF" w:rsidRPr="00E95B31">
        <w:rPr>
          <w:lang w:val="en-US"/>
        </w:rPr>
        <w:t xml:space="preserve">Madrid, </w:t>
      </w:r>
      <w:r w:rsidR="00977249" w:rsidRPr="00E95B31">
        <w:rPr>
          <w:lang w:val="en-US"/>
        </w:rPr>
        <w:t>v.4, n.261, p.19-30, 1995.</w:t>
      </w:r>
    </w:p>
    <w:p w:rsidR="00977249" w:rsidRPr="00E95B31" w:rsidRDefault="00B80A24" w:rsidP="001B140F">
      <w:pPr>
        <w:pStyle w:val="SemEspaamento"/>
        <w:jc w:val="both"/>
        <w:rPr>
          <w:rFonts w:ascii="Times New Roman" w:hAnsi="Times New Roman"/>
          <w:sz w:val="24"/>
          <w:szCs w:val="24"/>
          <w:lang w:val="en-US"/>
        </w:rPr>
      </w:pPr>
      <w:r w:rsidRPr="00E95B31">
        <w:rPr>
          <w:rFonts w:ascii="Times New Roman" w:hAnsi="Times New Roman"/>
          <w:sz w:val="24"/>
          <w:szCs w:val="24"/>
          <w:lang w:val="it-IT"/>
        </w:rPr>
        <w:t>KIMMEL, S.A.A.</w:t>
      </w:r>
      <w:r w:rsidR="00BE5951" w:rsidRPr="00E95B31">
        <w:rPr>
          <w:rFonts w:ascii="Times New Roman" w:hAnsi="Times New Roman"/>
          <w:sz w:val="24"/>
          <w:szCs w:val="24"/>
          <w:lang w:val="it-IT"/>
        </w:rPr>
        <w:t>;</w:t>
      </w:r>
      <w:r w:rsidR="00977249" w:rsidRPr="00E95B31">
        <w:rPr>
          <w:rFonts w:ascii="Times New Roman" w:hAnsi="Times New Roman"/>
          <w:sz w:val="24"/>
          <w:szCs w:val="24"/>
          <w:lang w:val="it-IT"/>
        </w:rPr>
        <w:t xml:space="preserve"> </w:t>
      </w:r>
      <w:r w:rsidR="00BE5951" w:rsidRPr="00E95B31">
        <w:rPr>
          <w:rFonts w:ascii="Times New Roman" w:hAnsi="Times New Roman"/>
          <w:sz w:val="24"/>
          <w:szCs w:val="24"/>
          <w:lang w:val="en-US"/>
        </w:rPr>
        <w:t>SIGMAN-GRANT, M.; GUINARD, J.</w:t>
      </w:r>
      <w:r w:rsidR="00977249" w:rsidRPr="00E95B31">
        <w:rPr>
          <w:rFonts w:ascii="Times New Roman" w:hAnsi="Times New Roman"/>
          <w:sz w:val="24"/>
          <w:szCs w:val="24"/>
          <w:lang w:val="it-IT"/>
        </w:rPr>
        <w:t xml:space="preserve"> </w:t>
      </w:r>
      <w:r w:rsidR="00977249" w:rsidRPr="00E95B31">
        <w:rPr>
          <w:rFonts w:ascii="Times New Roman" w:hAnsi="Times New Roman"/>
          <w:sz w:val="24"/>
          <w:szCs w:val="24"/>
          <w:lang w:val="en-US"/>
        </w:rPr>
        <w:t xml:space="preserve">Sensory testing with young children. </w:t>
      </w:r>
      <w:r w:rsidR="00977249" w:rsidRPr="00E95B31">
        <w:rPr>
          <w:rFonts w:ascii="Times New Roman" w:hAnsi="Times New Roman"/>
          <w:b/>
          <w:bCs/>
          <w:sz w:val="24"/>
          <w:szCs w:val="24"/>
          <w:lang w:val="en-US"/>
        </w:rPr>
        <w:t>Food Technology</w:t>
      </w:r>
      <w:r w:rsidR="00977249" w:rsidRPr="00E95B31">
        <w:rPr>
          <w:rFonts w:ascii="Times New Roman" w:hAnsi="Times New Roman"/>
          <w:sz w:val="24"/>
          <w:szCs w:val="24"/>
          <w:lang w:val="en-US"/>
        </w:rPr>
        <w:t xml:space="preserve">, </w:t>
      </w:r>
      <w:r w:rsidR="004958DF" w:rsidRPr="00E95B31">
        <w:rPr>
          <w:rFonts w:ascii="Times New Roman" w:hAnsi="Times New Roman"/>
          <w:sz w:val="24"/>
          <w:szCs w:val="24"/>
          <w:lang w:val="en-US"/>
        </w:rPr>
        <w:t xml:space="preserve">Chicago, </w:t>
      </w:r>
      <w:r w:rsidR="00977249" w:rsidRPr="00E95B31">
        <w:rPr>
          <w:rFonts w:ascii="Times New Roman" w:hAnsi="Times New Roman"/>
          <w:sz w:val="24"/>
          <w:szCs w:val="24"/>
          <w:lang w:val="en-US"/>
        </w:rPr>
        <w:t>v.48, n.3, p.92-99, 1994.</w:t>
      </w:r>
    </w:p>
    <w:p w:rsidR="00977249" w:rsidRPr="00E95B31" w:rsidRDefault="00BE5951" w:rsidP="001B140F">
      <w:pPr>
        <w:pStyle w:val="SemEspaamento"/>
        <w:jc w:val="both"/>
        <w:rPr>
          <w:rFonts w:ascii="Times New Roman" w:eastAsia="Arial Unicode MS" w:hAnsi="Times New Roman"/>
          <w:sz w:val="24"/>
          <w:szCs w:val="24"/>
          <w:lang w:val="en-US"/>
        </w:rPr>
      </w:pPr>
      <w:r w:rsidRPr="00E95B31">
        <w:rPr>
          <w:rFonts w:ascii="Times New Roman" w:hAnsi="Times New Roman"/>
          <w:sz w:val="24"/>
          <w:szCs w:val="24"/>
          <w:lang w:val="en-US"/>
        </w:rPr>
        <w:t xml:space="preserve">MANTZOURIDOU, F.; </w:t>
      </w:r>
      <w:r w:rsidRPr="00E95B31">
        <w:rPr>
          <w:rStyle w:val="st"/>
          <w:rFonts w:ascii="Times New Roman" w:hAnsi="Times New Roman"/>
          <w:sz w:val="24"/>
          <w:szCs w:val="24"/>
          <w:lang w:val="en-US"/>
        </w:rPr>
        <w:t>SPANOU, A.; KIOSSEOGLOU, V</w:t>
      </w:r>
      <w:r w:rsidRPr="00E95B31">
        <w:rPr>
          <w:rFonts w:ascii="Times New Roman" w:hAnsi="Times New Roman"/>
          <w:sz w:val="24"/>
          <w:szCs w:val="24"/>
          <w:lang w:val="en-US"/>
        </w:rPr>
        <w:t>. An inulin</w:t>
      </w:r>
      <w:r w:rsidR="00977249" w:rsidRPr="00E95B31">
        <w:rPr>
          <w:rFonts w:ascii="Times New Roman" w:hAnsi="Times New Roman"/>
          <w:sz w:val="24"/>
          <w:szCs w:val="24"/>
          <w:lang w:val="en-US"/>
        </w:rPr>
        <w:t xml:space="preserve">-based dressing emulsion as a potential probiotic food carrier. </w:t>
      </w:r>
      <w:r w:rsidR="00977249" w:rsidRPr="00E95B31">
        <w:rPr>
          <w:rFonts w:ascii="Times New Roman" w:hAnsi="Times New Roman"/>
          <w:b/>
          <w:bCs/>
          <w:sz w:val="24"/>
          <w:szCs w:val="24"/>
          <w:lang w:val="en-US"/>
        </w:rPr>
        <w:t>Food Research International</w:t>
      </w:r>
      <w:r w:rsidR="00977249" w:rsidRPr="00E95B31">
        <w:rPr>
          <w:rFonts w:ascii="Times New Roman" w:hAnsi="Times New Roman"/>
          <w:sz w:val="24"/>
          <w:szCs w:val="24"/>
          <w:lang w:val="en-US"/>
        </w:rPr>
        <w:t xml:space="preserve">, </w:t>
      </w:r>
      <w:r w:rsidR="004958DF" w:rsidRPr="00E95B31">
        <w:rPr>
          <w:rStyle w:val="Forte"/>
          <w:rFonts w:ascii="Times New Roman" w:hAnsi="Times New Roman"/>
          <w:b w:val="0"/>
          <w:sz w:val="24"/>
          <w:szCs w:val="24"/>
          <w:lang w:val="en-US"/>
        </w:rPr>
        <w:t>Serdang</w:t>
      </w:r>
      <w:r w:rsidR="004958DF" w:rsidRPr="00E95B31">
        <w:rPr>
          <w:rFonts w:ascii="Times New Roman" w:hAnsi="Times New Roman"/>
          <w:sz w:val="24"/>
          <w:szCs w:val="24"/>
          <w:lang w:val="en-US"/>
        </w:rPr>
        <w:t xml:space="preserve">, </w:t>
      </w:r>
      <w:r w:rsidR="00977249" w:rsidRPr="00E95B31">
        <w:rPr>
          <w:rFonts w:ascii="Times New Roman" w:hAnsi="Times New Roman"/>
          <w:sz w:val="24"/>
          <w:szCs w:val="24"/>
          <w:lang w:val="en-US"/>
        </w:rPr>
        <w:t xml:space="preserve">v.46, n.1, p.260–269, 2012. </w:t>
      </w:r>
    </w:p>
    <w:p w:rsidR="00977249" w:rsidRPr="00E95B31" w:rsidRDefault="00977249" w:rsidP="001B140F">
      <w:pPr>
        <w:pStyle w:val="SemEspaamento"/>
        <w:jc w:val="both"/>
        <w:rPr>
          <w:rFonts w:ascii="Times New Roman" w:hAnsi="Times New Roman"/>
          <w:b/>
          <w:bCs/>
          <w:sz w:val="24"/>
          <w:szCs w:val="24"/>
          <w:lang w:val="en-US"/>
        </w:rPr>
      </w:pPr>
      <w:r w:rsidRPr="00E95B31">
        <w:rPr>
          <w:rFonts w:ascii="Times New Roman" w:eastAsia="Arial Unicode MS" w:hAnsi="Times New Roman"/>
          <w:kern w:val="36"/>
          <w:sz w:val="24"/>
          <w:szCs w:val="24"/>
          <w:lang w:val="en-US"/>
        </w:rPr>
        <w:t xml:space="preserve">MERRILL, A.L.; WATT, B.K. </w:t>
      </w:r>
      <w:r w:rsidRPr="00E95B31">
        <w:rPr>
          <w:rFonts w:ascii="Times New Roman" w:eastAsia="Arial Unicode MS" w:hAnsi="Times New Roman"/>
          <w:b/>
          <w:bCs/>
          <w:kern w:val="36"/>
          <w:sz w:val="24"/>
          <w:szCs w:val="24"/>
          <w:lang w:val="en-US"/>
        </w:rPr>
        <w:t>Energy values of foods: basis and derivation</w:t>
      </w:r>
      <w:r w:rsidRPr="00E95B31">
        <w:rPr>
          <w:rFonts w:ascii="Times New Roman" w:eastAsia="Arial Unicode MS" w:hAnsi="Times New Roman"/>
          <w:kern w:val="36"/>
          <w:sz w:val="24"/>
          <w:szCs w:val="24"/>
          <w:lang w:val="en-US"/>
        </w:rPr>
        <w:t>. Agricultural Handbook, n.74, Washington, DC: USDA, 1973.</w:t>
      </w:r>
    </w:p>
    <w:p w:rsidR="00977249" w:rsidRPr="00E95B31" w:rsidRDefault="00977249" w:rsidP="001B140F">
      <w:pPr>
        <w:tabs>
          <w:tab w:val="left" w:pos="426"/>
        </w:tabs>
        <w:jc w:val="both"/>
        <w:rPr>
          <w:lang w:val="en-US"/>
        </w:rPr>
      </w:pPr>
      <w:r w:rsidRPr="00E95B31">
        <w:rPr>
          <w:lang w:val="en-US"/>
        </w:rPr>
        <w:t>MEYER, D.;</w:t>
      </w:r>
      <w:r w:rsidR="00BE5951" w:rsidRPr="00E95B31">
        <w:rPr>
          <w:lang w:val="en-US"/>
        </w:rPr>
        <w:t xml:space="preserve"> </w:t>
      </w:r>
      <w:r w:rsidR="002C653A" w:rsidRPr="00E95B31">
        <w:rPr>
          <w:lang w:val="en-US"/>
        </w:rPr>
        <w:t xml:space="preserve">VERMULST, </w:t>
      </w:r>
      <w:r w:rsidR="00BE5951" w:rsidRPr="00E95B31">
        <w:rPr>
          <w:lang w:val="en-US"/>
        </w:rPr>
        <w:t>J.</w:t>
      </w:r>
      <w:r w:rsidR="002C653A" w:rsidRPr="00E95B31">
        <w:rPr>
          <w:lang w:val="en-US"/>
        </w:rPr>
        <w:t>;</w:t>
      </w:r>
      <w:r w:rsidR="00BE5951" w:rsidRPr="00E95B31">
        <w:rPr>
          <w:lang w:val="en-US"/>
        </w:rPr>
        <w:t xml:space="preserve"> </w:t>
      </w:r>
      <w:r w:rsidR="002C653A" w:rsidRPr="00E95B31">
        <w:rPr>
          <w:lang w:val="en-US"/>
        </w:rPr>
        <w:t xml:space="preserve">TROMP, </w:t>
      </w:r>
      <w:r w:rsidR="00BE5951" w:rsidRPr="00E95B31">
        <w:rPr>
          <w:lang w:val="en-US"/>
        </w:rPr>
        <w:t>R.H.</w:t>
      </w:r>
      <w:r w:rsidR="002C653A" w:rsidRPr="00E95B31">
        <w:rPr>
          <w:lang w:val="en-US"/>
        </w:rPr>
        <w:t>;</w:t>
      </w:r>
      <w:r w:rsidR="00BE5951" w:rsidRPr="00E95B31">
        <w:rPr>
          <w:lang w:val="en-US"/>
        </w:rPr>
        <w:t xml:space="preserve"> </w:t>
      </w:r>
      <w:r w:rsidR="002C653A" w:rsidRPr="00E95B31">
        <w:rPr>
          <w:lang w:val="en-US"/>
        </w:rPr>
        <w:t>DE HOOG, E.H.A.</w:t>
      </w:r>
      <w:r w:rsidR="00B80A24" w:rsidRPr="00E95B31">
        <w:rPr>
          <w:lang w:val="en-US"/>
        </w:rPr>
        <w:t xml:space="preserve"> </w:t>
      </w:r>
      <w:r w:rsidRPr="00E95B31">
        <w:rPr>
          <w:lang w:val="en-US"/>
        </w:rPr>
        <w:t>The effect of inulin on tribology and sensory pro</w:t>
      </w:r>
      <w:r w:rsidRPr="00E95B31">
        <w:t>ﬁ</w:t>
      </w:r>
      <w:r w:rsidRPr="00E95B31">
        <w:rPr>
          <w:lang w:val="en-US"/>
        </w:rPr>
        <w:t xml:space="preserve">les of skimmed milk. </w:t>
      </w:r>
      <w:r w:rsidRPr="00E95B31">
        <w:rPr>
          <w:b/>
          <w:bCs/>
          <w:lang w:val="en-US"/>
        </w:rPr>
        <w:t>Journal of Texture Studies</w:t>
      </w:r>
      <w:r w:rsidRPr="00E95B31">
        <w:rPr>
          <w:lang w:val="en-US"/>
        </w:rPr>
        <w:t xml:space="preserve">, </w:t>
      </w:r>
      <w:r w:rsidR="00D57CB5" w:rsidRPr="00E95B31">
        <w:rPr>
          <w:lang w:val="en-US"/>
        </w:rPr>
        <w:t xml:space="preserve">Texas, </w:t>
      </w:r>
      <w:r w:rsidRPr="00E95B31">
        <w:rPr>
          <w:lang w:val="en-US"/>
        </w:rPr>
        <w:t>v.25, n.1, p.1745-4603, 2011.</w:t>
      </w:r>
    </w:p>
    <w:p w:rsidR="00977249" w:rsidRPr="00E95B31" w:rsidRDefault="00977249" w:rsidP="001B140F">
      <w:pPr>
        <w:pStyle w:val="PargrafodaLista1"/>
        <w:tabs>
          <w:tab w:val="left" w:pos="480"/>
        </w:tabs>
        <w:spacing w:after="0" w:line="240" w:lineRule="auto"/>
        <w:ind w:left="0"/>
        <w:jc w:val="both"/>
        <w:rPr>
          <w:rFonts w:ascii="Times New Roman" w:hAnsi="Times New Roman" w:cs="Times New Roman"/>
          <w:sz w:val="24"/>
          <w:szCs w:val="24"/>
          <w:lang w:val="en-US" w:eastAsia="pt-BR"/>
        </w:rPr>
      </w:pPr>
      <w:r w:rsidRPr="00E95B31">
        <w:rPr>
          <w:rFonts w:ascii="Times New Roman" w:hAnsi="Times New Roman" w:cs="Times New Roman"/>
          <w:sz w:val="24"/>
          <w:szCs w:val="24"/>
          <w:lang w:val="en-US" w:eastAsia="pt-BR"/>
        </w:rPr>
        <w:t>MEYER, P</w:t>
      </w:r>
      <w:r w:rsidR="008700FA" w:rsidRPr="00E95B31">
        <w:rPr>
          <w:rFonts w:ascii="Times New Roman" w:hAnsi="Times New Roman" w:cs="Times New Roman"/>
          <w:sz w:val="24"/>
          <w:szCs w:val="24"/>
          <w:lang w:val="en-US" w:eastAsia="pt-BR"/>
        </w:rPr>
        <w:t xml:space="preserve">.D.; </w:t>
      </w:r>
      <w:r w:rsidR="008700FA" w:rsidRPr="00E95B31">
        <w:rPr>
          <w:rFonts w:ascii="Times New Roman" w:hAnsi="Times New Roman" w:cs="Times New Roman"/>
          <w:sz w:val="24"/>
          <w:szCs w:val="24"/>
          <w:lang w:val="en-US"/>
        </w:rPr>
        <w:t xml:space="preserve">DE WOLF, J.; OLIVIER, P. </w:t>
      </w:r>
      <w:r w:rsidRPr="00E95B31">
        <w:rPr>
          <w:rFonts w:ascii="Times New Roman" w:hAnsi="Times New Roman" w:cs="Times New Roman"/>
          <w:sz w:val="24"/>
          <w:szCs w:val="24"/>
          <w:lang w:val="en-US" w:eastAsia="pt-BR"/>
        </w:rPr>
        <w:t xml:space="preserve">Inulin und Fructooligosaccharide. In: ROSENPLENTER, K.; NÖHLE, U. (Eds.), Handbuch Süßungsmittel. Hamburg, Germany: </w:t>
      </w:r>
      <w:r w:rsidRPr="00E95B31">
        <w:rPr>
          <w:rFonts w:ascii="Times New Roman" w:hAnsi="Times New Roman" w:cs="Times New Roman"/>
          <w:b/>
          <w:bCs/>
          <w:sz w:val="24"/>
          <w:szCs w:val="24"/>
          <w:lang w:val="en-US" w:eastAsia="pt-BR"/>
        </w:rPr>
        <w:t>Behr’s Verlag</w:t>
      </w:r>
      <w:r w:rsidRPr="00E95B31">
        <w:rPr>
          <w:rFonts w:ascii="Times New Roman" w:hAnsi="Times New Roman" w:cs="Times New Roman"/>
          <w:bCs/>
          <w:sz w:val="24"/>
          <w:szCs w:val="24"/>
          <w:lang w:val="en-US" w:eastAsia="pt-BR"/>
        </w:rPr>
        <w:t>.,</w:t>
      </w:r>
      <w:r w:rsidRPr="00E95B31">
        <w:rPr>
          <w:rFonts w:ascii="Times New Roman" w:hAnsi="Times New Roman" w:cs="Times New Roman"/>
          <w:sz w:val="24"/>
          <w:szCs w:val="24"/>
          <w:lang w:val="en-US" w:eastAsia="pt-BR"/>
        </w:rPr>
        <w:t xml:space="preserve"> 2007. </w:t>
      </w:r>
    </w:p>
    <w:p w:rsidR="00977249" w:rsidRPr="007C6E5D" w:rsidRDefault="00977249" w:rsidP="001B140F">
      <w:pPr>
        <w:pStyle w:val="PargrafodaLista1"/>
        <w:tabs>
          <w:tab w:val="left" w:pos="480"/>
        </w:tabs>
        <w:spacing w:after="0" w:line="240" w:lineRule="auto"/>
        <w:ind w:left="0"/>
        <w:jc w:val="both"/>
        <w:rPr>
          <w:rFonts w:ascii="Times New Roman" w:hAnsi="Times New Roman" w:cs="Times New Roman"/>
          <w:sz w:val="24"/>
          <w:szCs w:val="24"/>
          <w:lang w:val="en-US" w:eastAsia="pt-BR"/>
        </w:rPr>
      </w:pPr>
      <w:r w:rsidRPr="00E95B31">
        <w:rPr>
          <w:rFonts w:ascii="Times New Roman" w:hAnsi="Times New Roman" w:cs="Times New Roman"/>
          <w:sz w:val="24"/>
          <w:szCs w:val="24"/>
          <w:lang w:eastAsia="pt-BR"/>
        </w:rPr>
        <w:t xml:space="preserve">MINIM, V.P.R. </w:t>
      </w:r>
      <w:r w:rsidRPr="00E95B31">
        <w:rPr>
          <w:rFonts w:ascii="Times New Roman" w:hAnsi="Times New Roman" w:cs="Times New Roman"/>
          <w:b/>
          <w:bCs/>
          <w:sz w:val="24"/>
          <w:szCs w:val="24"/>
          <w:lang w:eastAsia="pt-BR"/>
        </w:rPr>
        <w:t>Análise Sensorial: estudo com consumidores</w:t>
      </w:r>
      <w:r w:rsidRPr="00E95B31">
        <w:rPr>
          <w:rFonts w:ascii="Times New Roman" w:hAnsi="Times New Roman" w:cs="Times New Roman"/>
          <w:sz w:val="24"/>
          <w:szCs w:val="24"/>
          <w:lang w:eastAsia="pt-BR"/>
        </w:rPr>
        <w:t xml:space="preserve">. </w:t>
      </w:r>
      <w:r w:rsidRPr="007C6E5D">
        <w:rPr>
          <w:rFonts w:ascii="Times New Roman" w:hAnsi="Times New Roman" w:cs="Times New Roman"/>
          <w:sz w:val="24"/>
          <w:szCs w:val="24"/>
          <w:lang w:val="en-US" w:eastAsia="pt-BR"/>
        </w:rPr>
        <w:t xml:space="preserve">2 ed. Viçosa, MG: UFV, 2010. </w:t>
      </w:r>
    </w:p>
    <w:p w:rsidR="00977249" w:rsidRPr="00E95B31" w:rsidRDefault="00977249" w:rsidP="001B140F">
      <w:pPr>
        <w:pStyle w:val="SemEspaamento6"/>
        <w:tabs>
          <w:tab w:val="left" w:pos="284"/>
        </w:tabs>
        <w:jc w:val="both"/>
        <w:rPr>
          <w:rFonts w:ascii="Times New Roman" w:hAnsi="Times New Roman" w:cs="Times New Roman"/>
          <w:sz w:val="24"/>
          <w:szCs w:val="24"/>
          <w:lang w:eastAsia="pt-BR"/>
        </w:rPr>
      </w:pPr>
      <w:r w:rsidRPr="00E95B31">
        <w:rPr>
          <w:rFonts w:ascii="Times New Roman" w:hAnsi="Times New Roman" w:cs="Times New Roman"/>
          <w:sz w:val="24"/>
          <w:szCs w:val="24"/>
          <w:lang w:val="en-US" w:eastAsia="pt-BR"/>
        </w:rPr>
        <w:t xml:space="preserve">MORRIS, C.; MORRIS, G.A. The effect of inulin and fructo-oligosaccharide supplementation on the textural, rheological and sensory properties of bread and their role in weight management: A review. </w:t>
      </w:r>
      <w:r w:rsidRPr="00E95B31">
        <w:rPr>
          <w:rFonts w:ascii="Times New Roman" w:hAnsi="Times New Roman" w:cs="Times New Roman"/>
          <w:b/>
          <w:bCs/>
          <w:sz w:val="24"/>
          <w:szCs w:val="24"/>
          <w:lang w:eastAsia="pt-BR"/>
        </w:rPr>
        <w:t>Food Chemistry,</w:t>
      </w:r>
      <w:r w:rsidR="00D57CB5" w:rsidRPr="00E95B31">
        <w:rPr>
          <w:rFonts w:ascii="Times New Roman" w:hAnsi="Times New Roman" w:cs="Times New Roman"/>
          <w:b/>
          <w:bCs/>
          <w:sz w:val="24"/>
          <w:szCs w:val="24"/>
          <w:lang w:eastAsia="pt-BR"/>
        </w:rPr>
        <w:t xml:space="preserve"> </w:t>
      </w:r>
      <w:r w:rsidR="00D57CB5" w:rsidRPr="00E95B31">
        <w:rPr>
          <w:rFonts w:ascii="Times New Roman" w:hAnsi="Times New Roman" w:cs="Times New Roman"/>
          <w:bCs/>
          <w:sz w:val="24"/>
          <w:szCs w:val="24"/>
          <w:lang w:eastAsia="pt-BR"/>
        </w:rPr>
        <w:t>Inglaterra,</w:t>
      </w:r>
      <w:r w:rsidRPr="00E95B31">
        <w:rPr>
          <w:rFonts w:ascii="Times New Roman" w:hAnsi="Times New Roman" w:cs="Times New Roman"/>
          <w:b/>
          <w:bCs/>
          <w:sz w:val="24"/>
          <w:szCs w:val="24"/>
          <w:lang w:eastAsia="pt-BR"/>
        </w:rPr>
        <w:t xml:space="preserve"> </w:t>
      </w:r>
      <w:r w:rsidRPr="00E95B31">
        <w:rPr>
          <w:rFonts w:ascii="Times New Roman" w:hAnsi="Times New Roman" w:cs="Times New Roman"/>
          <w:sz w:val="24"/>
          <w:szCs w:val="24"/>
          <w:lang w:eastAsia="pt-BR"/>
        </w:rPr>
        <w:t>v.133, n.2, p.237–248, 2012.</w:t>
      </w:r>
      <w:r w:rsidRPr="00E95B31">
        <w:rPr>
          <w:rFonts w:ascii="Times New Roman" w:hAnsi="Times New Roman" w:cs="Times New Roman"/>
          <w:sz w:val="24"/>
          <w:szCs w:val="24"/>
        </w:rPr>
        <w:t xml:space="preserve"> </w:t>
      </w:r>
    </w:p>
    <w:p w:rsidR="00977249" w:rsidRPr="00E95B31" w:rsidRDefault="00977249" w:rsidP="001B140F">
      <w:pPr>
        <w:pStyle w:val="PargrafodaLista1"/>
        <w:tabs>
          <w:tab w:val="left" w:pos="480"/>
        </w:tabs>
        <w:spacing w:after="0" w:line="240" w:lineRule="auto"/>
        <w:ind w:left="0"/>
        <w:jc w:val="both"/>
        <w:rPr>
          <w:rFonts w:ascii="Times New Roman" w:hAnsi="Times New Roman" w:cs="Times New Roman"/>
          <w:sz w:val="24"/>
          <w:szCs w:val="24"/>
          <w:lang w:eastAsia="pt-BR"/>
        </w:rPr>
      </w:pPr>
      <w:r w:rsidRPr="00E95B31">
        <w:rPr>
          <w:rFonts w:ascii="Times New Roman" w:hAnsi="Times New Roman" w:cs="Times New Roman"/>
          <w:sz w:val="24"/>
          <w:szCs w:val="24"/>
          <w:lang w:val="it-IT" w:eastAsia="pt-BR"/>
        </w:rPr>
        <w:t xml:space="preserve">MOSCATTO, J.A.; </w:t>
      </w:r>
      <w:r w:rsidR="008700FA" w:rsidRPr="00E95B31">
        <w:rPr>
          <w:rFonts w:ascii="Times New Roman" w:hAnsi="Times New Roman" w:cs="Times New Roman"/>
          <w:sz w:val="24"/>
          <w:szCs w:val="24"/>
          <w:lang w:val="it-IT"/>
        </w:rPr>
        <w:t>PRUDÊNCIO-FERREIRA, S.H.; HAULY, M.C.O.</w:t>
      </w:r>
      <w:r w:rsidR="00B80A24" w:rsidRPr="00E95B31">
        <w:rPr>
          <w:rFonts w:ascii="Times New Roman" w:hAnsi="Times New Roman" w:cs="Times New Roman"/>
          <w:sz w:val="24"/>
          <w:szCs w:val="24"/>
          <w:lang w:val="it-IT"/>
        </w:rPr>
        <w:t xml:space="preserve"> </w:t>
      </w:r>
      <w:r w:rsidRPr="00E95B31">
        <w:rPr>
          <w:rFonts w:ascii="Times New Roman" w:hAnsi="Times New Roman" w:cs="Times New Roman"/>
          <w:sz w:val="24"/>
          <w:szCs w:val="24"/>
          <w:lang w:eastAsia="pt-BR"/>
        </w:rPr>
        <w:t xml:space="preserve">Farinha de yacon e inulina como ingredientes na formulação de bolo de chocolate. </w:t>
      </w:r>
      <w:r w:rsidRPr="00E95B31">
        <w:rPr>
          <w:rFonts w:ascii="Times New Roman" w:hAnsi="Times New Roman" w:cs="Times New Roman"/>
          <w:b/>
          <w:bCs/>
          <w:sz w:val="24"/>
          <w:szCs w:val="24"/>
          <w:lang w:eastAsia="pt-BR"/>
        </w:rPr>
        <w:t>Ciência e Tecnologia de Alimentos,</w:t>
      </w:r>
      <w:r w:rsidR="00D57CB5" w:rsidRPr="00E95B31">
        <w:rPr>
          <w:rFonts w:ascii="Times New Roman" w:hAnsi="Times New Roman" w:cs="Times New Roman"/>
          <w:b/>
          <w:bCs/>
          <w:sz w:val="24"/>
          <w:szCs w:val="24"/>
          <w:lang w:eastAsia="pt-BR"/>
        </w:rPr>
        <w:t xml:space="preserve"> </w:t>
      </w:r>
      <w:r w:rsidR="00D57CB5" w:rsidRPr="00E95B31">
        <w:rPr>
          <w:rFonts w:ascii="Times New Roman" w:hAnsi="Times New Roman" w:cs="Times New Roman"/>
          <w:bCs/>
          <w:sz w:val="24"/>
          <w:szCs w:val="24"/>
          <w:lang w:eastAsia="pt-BR"/>
        </w:rPr>
        <w:t>Campinas,</w:t>
      </w:r>
      <w:r w:rsidRPr="00E95B31">
        <w:rPr>
          <w:rFonts w:ascii="Times New Roman" w:hAnsi="Times New Roman" w:cs="Times New Roman"/>
          <w:b/>
          <w:bCs/>
          <w:sz w:val="24"/>
          <w:szCs w:val="24"/>
          <w:lang w:eastAsia="pt-BR"/>
        </w:rPr>
        <w:t xml:space="preserve"> </w:t>
      </w:r>
      <w:r w:rsidRPr="00E95B31">
        <w:rPr>
          <w:rFonts w:ascii="Times New Roman" w:hAnsi="Times New Roman" w:cs="Times New Roman"/>
          <w:sz w:val="24"/>
          <w:szCs w:val="24"/>
          <w:lang w:eastAsia="pt-BR"/>
        </w:rPr>
        <w:t>v.24, n.4, p.634-640, 2004.</w:t>
      </w:r>
      <w:r w:rsidRPr="00E95B31">
        <w:rPr>
          <w:rFonts w:ascii="Times New Roman" w:hAnsi="Times New Roman" w:cs="Times New Roman"/>
          <w:sz w:val="24"/>
          <w:szCs w:val="24"/>
        </w:rPr>
        <w:t xml:space="preserve"> </w:t>
      </w:r>
    </w:p>
    <w:p w:rsidR="00977249" w:rsidRPr="00E95B31" w:rsidRDefault="00977249" w:rsidP="001B140F">
      <w:pPr>
        <w:numPr>
          <w:ilvl w:val="0"/>
          <w:numId w:val="9"/>
        </w:numPr>
        <w:shd w:val="clear" w:color="auto" w:fill="FFFFFF"/>
        <w:tabs>
          <w:tab w:val="left" w:pos="480"/>
        </w:tabs>
        <w:ind w:left="0"/>
        <w:jc w:val="both"/>
        <w:rPr>
          <w:rFonts w:eastAsia="Arial Unicode MS"/>
          <w:lang w:val="en-US"/>
        </w:rPr>
      </w:pPr>
      <w:r w:rsidRPr="00E95B31">
        <w:rPr>
          <w:lang w:val="it-IT"/>
        </w:rPr>
        <w:t>MUZZARELLI, R.A.A</w:t>
      </w:r>
      <w:r w:rsidR="008700FA" w:rsidRPr="00E95B31">
        <w:rPr>
          <w:lang w:val="it-IT"/>
        </w:rPr>
        <w:t xml:space="preserve">.; BOUDRANT, </w:t>
      </w:r>
      <w:hyperlink r:id="rId17" w:history="1">
        <w:r w:rsidR="008700FA" w:rsidRPr="00E95B31">
          <w:rPr>
            <w:rStyle w:val="Hyperlink"/>
            <w:rFonts w:eastAsia="Arial Unicode MS"/>
            <w:lang w:val="en-US"/>
          </w:rPr>
          <w:t>J</w:t>
        </w:r>
      </w:hyperlink>
      <w:r w:rsidR="008700FA" w:rsidRPr="00E95B31">
        <w:rPr>
          <w:rFonts w:eastAsia="Arial Unicode MS"/>
          <w:lang w:val="en-US"/>
        </w:rPr>
        <w:t>.; MEYER</w:t>
      </w:r>
      <w:r w:rsidR="001B140F" w:rsidRPr="00E95B31">
        <w:rPr>
          <w:rFonts w:eastAsia="Arial Unicode MS"/>
          <w:lang w:val="en-US"/>
        </w:rPr>
        <w:t>,</w:t>
      </w:r>
      <w:r w:rsidR="008700FA" w:rsidRPr="00E95B31">
        <w:rPr>
          <w:rFonts w:eastAsia="Arial Unicode MS"/>
          <w:lang w:val="en-US"/>
        </w:rPr>
        <w:t xml:space="preserve"> </w:t>
      </w:r>
      <w:hyperlink r:id="rId18" w:history="1">
        <w:r w:rsidR="008700FA" w:rsidRPr="00E95B31">
          <w:rPr>
            <w:rStyle w:val="Hyperlink"/>
            <w:rFonts w:eastAsia="Arial Unicode MS"/>
            <w:lang w:val="en-US"/>
          </w:rPr>
          <w:t>D</w:t>
        </w:r>
      </w:hyperlink>
      <w:r w:rsidR="008700FA" w:rsidRPr="00E95B31">
        <w:rPr>
          <w:rFonts w:eastAsia="Arial Unicode MS"/>
          <w:lang w:val="en-US"/>
        </w:rPr>
        <w:t>.; MANNO, N.; DEMARCHIS, M.; PAOLETTI, M.G</w:t>
      </w:r>
      <w:r w:rsidRPr="00E95B31">
        <w:rPr>
          <w:lang w:val="it-IT"/>
        </w:rPr>
        <w:t xml:space="preserve">. </w:t>
      </w:r>
      <w:r w:rsidRPr="00E95B31">
        <w:rPr>
          <w:lang w:val="en-US"/>
        </w:rPr>
        <w:t xml:space="preserve">Current  views  on  fungal  chitin/chitosan,  human  chitinases,  food  preservation, glucans,  pectins  and  inulin:  A  tribute  to  Henri  Braconnot,  precursor  of  thecarbohydrate polymers science, on the chitin bicentennial: review. </w:t>
      </w:r>
      <w:r w:rsidRPr="00E95B31">
        <w:rPr>
          <w:b/>
          <w:bCs/>
          <w:lang w:val="en-US"/>
        </w:rPr>
        <w:t>Carbohydrate Polymers,</w:t>
      </w:r>
      <w:r w:rsidR="00D57CB5" w:rsidRPr="00E95B31">
        <w:rPr>
          <w:rStyle w:val="Ttulo1Char"/>
          <w:rFonts w:ascii="Times New Roman" w:hAnsi="Times New Roman" w:cs="Times New Roman"/>
          <w:color w:val="auto"/>
          <w:sz w:val="24"/>
          <w:szCs w:val="24"/>
          <w:lang w:val="en-US"/>
        </w:rPr>
        <w:t xml:space="preserve"> </w:t>
      </w:r>
      <w:r w:rsidR="00D57CB5" w:rsidRPr="00E95B31">
        <w:rPr>
          <w:rStyle w:val="st"/>
          <w:lang w:val="en-US"/>
        </w:rPr>
        <w:t>Barking,</w:t>
      </w:r>
      <w:r w:rsidRPr="00E95B31">
        <w:rPr>
          <w:b/>
          <w:bCs/>
          <w:lang w:val="en-US"/>
        </w:rPr>
        <w:t xml:space="preserve"> </w:t>
      </w:r>
      <w:r w:rsidRPr="00E95B31">
        <w:rPr>
          <w:lang w:val="en-US"/>
        </w:rPr>
        <w:t>v.87, n.1, p.995–1012, 2012</w:t>
      </w:r>
      <w:r w:rsidR="005735E7" w:rsidRPr="00E95B31">
        <w:rPr>
          <w:lang w:val="en-US"/>
        </w:rPr>
        <w:t>.</w:t>
      </w:r>
      <w:r w:rsidRPr="00E95B31">
        <w:rPr>
          <w:rFonts w:eastAsia="Arial Unicode MS"/>
          <w:lang w:val="en-US"/>
        </w:rPr>
        <w:t xml:space="preserve"> </w:t>
      </w:r>
    </w:p>
    <w:p w:rsidR="00977249" w:rsidRPr="00E95B31" w:rsidRDefault="00977249" w:rsidP="001B140F">
      <w:pPr>
        <w:pStyle w:val="SemEspaamento6"/>
        <w:tabs>
          <w:tab w:val="left" w:pos="284"/>
        </w:tabs>
        <w:jc w:val="both"/>
        <w:rPr>
          <w:rFonts w:ascii="Times New Roman" w:eastAsia="Arial Unicode MS" w:hAnsi="Times New Roman"/>
          <w:sz w:val="24"/>
          <w:szCs w:val="24"/>
        </w:rPr>
      </w:pPr>
      <w:r w:rsidRPr="00E95B31">
        <w:rPr>
          <w:rFonts w:ascii="Times New Roman" w:hAnsi="Times New Roman" w:cs="Times New Roman"/>
          <w:sz w:val="24"/>
          <w:szCs w:val="24"/>
          <w:lang w:val="en-US"/>
        </w:rPr>
        <w:t xml:space="preserve">PERESSINI D.; SENSIDONI A. Effect of soluble dietary fibre addition on rheological and breadmaking properties of wheat doughs. </w:t>
      </w:r>
      <w:r w:rsidRPr="00E95B31">
        <w:rPr>
          <w:rFonts w:ascii="Times New Roman" w:hAnsi="Times New Roman" w:cs="Times New Roman"/>
          <w:b/>
          <w:bCs/>
          <w:sz w:val="24"/>
          <w:szCs w:val="24"/>
        </w:rPr>
        <w:t>Journal of Cereal Science</w:t>
      </w:r>
      <w:r w:rsidRPr="00E95B31">
        <w:rPr>
          <w:rFonts w:ascii="Times New Roman" w:hAnsi="Times New Roman" w:cs="Times New Roman"/>
          <w:bCs/>
          <w:sz w:val="24"/>
          <w:szCs w:val="24"/>
        </w:rPr>
        <w:t>,</w:t>
      </w:r>
      <w:r w:rsidRPr="00E95B31">
        <w:rPr>
          <w:rFonts w:ascii="Times New Roman" w:hAnsi="Times New Roman" w:cs="Times New Roman"/>
          <w:sz w:val="24"/>
          <w:szCs w:val="24"/>
        </w:rPr>
        <w:t xml:space="preserve"> </w:t>
      </w:r>
      <w:r w:rsidR="00D57CB5" w:rsidRPr="00E95B31">
        <w:rPr>
          <w:rFonts w:ascii="Times New Roman" w:hAnsi="Times New Roman" w:cs="Times New Roman"/>
          <w:sz w:val="24"/>
          <w:szCs w:val="24"/>
        </w:rPr>
        <w:t xml:space="preserve">London, </w:t>
      </w:r>
      <w:r w:rsidRPr="00E95B31">
        <w:rPr>
          <w:rFonts w:ascii="Times New Roman" w:hAnsi="Times New Roman" w:cs="Times New Roman"/>
          <w:sz w:val="24"/>
          <w:szCs w:val="24"/>
        </w:rPr>
        <w:t xml:space="preserve">v.49, n.2, p.190-201, 2009. </w:t>
      </w:r>
    </w:p>
    <w:p w:rsidR="00977249" w:rsidRPr="00E95B31" w:rsidRDefault="00977249" w:rsidP="001B140F">
      <w:pPr>
        <w:pStyle w:val="SemEspaamento6"/>
        <w:tabs>
          <w:tab w:val="left" w:pos="284"/>
        </w:tabs>
        <w:jc w:val="both"/>
        <w:rPr>
          <w:rFonts w:ascii="Times New Roman" w:hAnsi="Times New Roman" w:cs="Times New Roman"/>
          <w:sz w:val="24"/>
          <w:szCs w:val="24"/>
          <w:lang w:eastAsia="pt-BR"/>
        </w:rPr>
      </w:pPr>
      <w:r w:rsidRPr="00E95B31">
        <w:rPr>
          <w:rFonts w:ascii="Times New Roman" w:hAnsi="Times New Roman" w:cs="Times New Roman"/>
          <w:sz w:val="24"/>
          <w:szCs w:val="24"/>
          <w:lang w:val="it-IT" w:eastAsia="pt-BR"/>
        </w:rPr>
        <w:t>RINALDI, A.E.</w:t>
      </w:r>
      <w:r w:rsidR="00427BA0" w:rsidRPr="00E95B31">
        <w:rPr>
          <w:rFonts w:ascii="Times New Roman" w:hAnsi="Times New Roman" w:cs="Times New Roman"/>
          <w:sz w:val="24"/>
          <w:szCs w:val="24"/>
          <w:lang w:val="it-IT" w:eastAsia="pt-BR"/>
        </w:rPr>
        <w:t xml:space="preserve">M.; PEREIRA, A.F.; MACEDO, C.S.; MOTA, J.F.; BURINI, R.C. </w:t>
      </w:r>
      <w:r w:rsidRPr="00E95B31">
        <w:rPr>
          <w:rFonts w:ascii="Times New Roman" w:hAnsi="Times New Roman" w:cs="Times New Roman"/>
          <w:sz w:val="24"/>
          <w:szCs w:val="24"/>
          <w:lang w:eastAsia="pt-BR"/>
        </w:rPr>
        <w:t xml:space="preserve">Contribuições das práticas alimentares e inatividade física para o excesso de peso infantil. </w:t>
      </w:r>
      <w:r w:rsidRPr="00E95B31">
        <w:rPr>
          <w:rFonts w:ascii="Times New Roman" w:hAnsi="Times New Roman" w:cs="Times New Roman"/>
          <w:b/>
          <w:bCs/>
          <w:sz w:val="24"/>
          <w:szCs w:val="24"/>
          <w:lang w:eastAsia="pt-BR"/>
        </w:rPr>
        <w:t>Revista Paulista de Pediatria,</w:t>
      </w:r>
      <w:r w:rsidRPr="00E95B31">
        <w:rPr>
          <w:rFonts w:ascii="Times New Roman" w:hAnsi="Times New Roman" w:cs="Times New Roman"/>
          <w:sz w:val="24"/>
          <w:szCs w:val="24"/>
          <w:lang w:eastAsia="pt-BR"/>
        </w:rPr>
        <w:t xml:space="preserve"> </w:t>
      </w:r>
      <w:r w:rsidR="00D57CB5" w:rsidRPr="00E95B31">
        <w:rPr>
          <w:rFonts w:ascii="Times New Roman" w:hAnsi="Times New Roman" w:cs="Times New Roman"/>
          <w:sz w:val="24"/>
          <w:szCs w:val="24"/>
          <w:lang w:eastAsia="pt-BR"/>
        </w:rPr>
        <w:t xml:space="preserve">São Paulo, </w:t>
      </w:r>
      <w:r w:rsidRPr="00E95B31">
        <w:rPr>
          <w:rFonts w:ascii="Times New Roman" w:hAnsi="Times New Roman" w:cs="Times New Roman"/>
          <w:sz w:val="24"/>
          <w:szCs w:val="24"/>
          <w:lang w:eastAsia="pt-BR"/>
        </w:rPr>
        <w:t xml:space="preserve">v.26, n.3, p.271-277, 2008. </w:t>
      </w:r>
    </w:p>
    <w:p w:rsidR="006075FA" w:rsidRPr="00E95B31" w:rsidRDefault="00E04078" w:rsidP="001B140F">
      <w:pPr>
        <w:jc w:val="both"/>
      </w:pPr>
      <w:r w:rsidRPr="00E95B31">
        <w:t xml:space="preserve">SILVEIRA, S.; ABREU, S.M. </w:t>
      </w:r>
      <w:r w:rsidR="006075FA" w:rsidRPr="00E95B31">
        <w:t>Fatores que contribuem para a obesidade infantil</w:t>
      </w:r>
      <w:r w:rsidRPr="00E95B31">
        <w:t xml:space="preserve">. </w:t>
      </w:r>
      <w:r w:rsidR="006075FA" w:rsidRPr="00E95B31">
        <w:rPr>
          <w:b/>
        </w:rPr>
        <w:t>Rev</w:t>
      </w:r>
      <w:r w:rsidRPr="00E95B31">
        <w:rPr>
          <w:b/>
        </w:rPr>
        <w:t>ista de</w:t>
      </w:r>
      <w:r w:rsidR="006075FA" w:rsidRPr="00E95B31">
        <w:rPr>
          <w:b/>
        </w:rPr>
        <w:t xml:space="preserve"> Enferm</w:t>
      </w:r>
      <w:r w:rsidRPr="00E95B31">
        <w:rPr>
          <w:b/>
        </w:rPr>
        <w:t>agem</w:t>
      </w:r>
      <w:r w:rsidRPr="00E95B31">
        <w:t xml:space="preserve">, </w:t>
      </w:r>
      <w:r w:rsidR="002A1842" w:rsidRPr="00E95B31">
        <w:t xml:space="preserve">Santo Amaro, </w:t>
      </w:r>
      <w:r w:rsidRPr="00E95B31">
        <w:t>v.7,</w:t>
      </w:r>
      <w:r w:rsidR="002A1842" w:rsidRPr="00E95B31">
        <w:t xml:space="preserve"> n.1, </w:t>
      </w:r>
      <w:r w:rsidRPr="00E95B31">
        <w:t>p.59-62, 2006.</w:t>
      </w:r>
    </w:p>
    <w:p w:rsidR="00977249" w:rsidRPr="00E95B31" w:rsidRDefault="00977249" w:rsidP="001B140F">
      <w:pPr>
        <w:pStyle w:val="SemEspaamento6"/>
        <w:tabs>
          <w:tab w:val="left" w:pos="284"/>
        </w:tabs>
        <w:jc w:val="both"/>
        <w:rPr>
          <w:rFonts w:ascii="Times New Roman" w:hAnsi="Times New Roman" w:cs="Times New Roman"/>
          <w:sz w:val="24"/>
          <w:szCs w:val="24"/>
          <w:lang w:eastAsia="pt-BR"/>
        </w:rPr>
      </w:pPr>
      <w:r w:rsidRPr="00E95B31">
        <w:rPr>
          <w:rFonts w:ascii="Times New Roman" w:hAnsi="Times New Roman" w:cs="Times New Roman"/>
          <w:sz w:val="24"/>
          <w:szCs w:val="24"/>
          <w:lang w:eastAsia="pt-BR"/>
        </w:rPr>
        <w:t>TABELA BRASILEIRA DE COMPOSIÇÃO DE ALIMENTOS (TACO).</w:t>
      </w:r>
      <w:r w:rsidRPr="00E95B31">
        <w:rPr>
          <w:rFonts w:ascii="Times New Roman" w:hAnsi="Times New Roman" w:cs="Times New Roman"/>
          <w:b/>
          <w:bCs/>
          <w:sz w:val="24"/>
          <w:szCs w:val="24"/>
          <w:lang w:eastAsia="pt-BR"/>
        </w:rPr>
        <w:t xml:space="preserve"> </w:t>
      </w:r>
      <w:r w:rsidRPr="00E95B31">
        <w:rPr>
          <w:rFonts w:ascii="Times New Roman" w:hAnsi="Times New Roman" w:cs="Times New Roman"/>
          <w:sz w:val="24"/>
          <w:szCs w:val="24"/>
          <w:lang w:eastAsia="pt-BR"/>
        </w:rPr>
        <w:t xml:space="preserve">Núcleo de Estudos e Pesquisas em Alimentação. Universidade Estadual de Campinas [NEPA/Unicamp]. </w:t>
      </w:r>
      <w:r w:rsidRPr="00E95B31">
        <w:rPr>
          <w:rFonts w:ascii="Times New Roman" w:hAnsi="Times New Roman" w:cs="Times New Roman"/>
          <w:b/>
          <w:bCs/>
          <w:sz w:val="24"/>
          <w:szCs w:val="24"/>
          <w:lang w:eastAsia="pt-BR"/>
        </w:rPr>
        <w:t>Tabela Brasileira de Composição de Alimentos</w:t>
      </w:r>
      <w:r w:rsidR="002A1842" w:rsidRPr="00E95B31">
        <w:rPr>
          <w:rFonts w:ascii="Times New Roman" w:hAnsi="Times New Roman" w:cs="Times New Roman"/>
          <w:b/>
          <w:bCs/>
          <w:sz w:val="24"/>
          <w:szCs w:val="24"/>
          <w:lang w:eastAsia="pt-BR"/>
        </w:rPr>
        <w:t>.</w:t>
      </w:r>
      <w:r w:rsidRPr="00E95B31">
        <w:rPr>
          <w:rFonts w:ascii="Times New Roman" w:hAnsi="Times New Roman" w:cs="Times New Roman"/>
          <w:b/>
          <w:bCs/>
          <w:sz w:val="24"/>
          <w:szCs w:val="24"/>
          <w:lang w:eastAsia="pt-BR"/>
        </w:rPr>
        <w:t xml:space="preserve"> </w:t>
      </w:r>
      <w:r w:rsidR="002A1842" w:rsidRPr="00E95B31">
        <w:rPr>
          <w:rFonts w:ascii="Times New Roman" w:hAnsi="Times New Roman" w:cs="Times New Roman"/>
          <w:sz w:val="24"/>
          <w:szCs w:val="24"/>
          <w:lang w:eastAsia="pt-BR"/>
        </w:rPr>
        <w:t>4 ed. São Paulo: NEPA/Unicamp,</w:t>
      </w:r>
      <w:r w:rsidRPr="00E95B31">
        <w:rPr>
          <w:rFonts w:ascii="Times New Roman" w:hAnsi="Times New Roman" w:cs="Times New Roman"/>
          <w:sz w:val="24"/>
          <w:szCs w:val="24"/>
          <w:lang w:eastAsia="pt-BR"/>
        </w:rPr>
        <w:t xml:space="preserve"> 2011. </w:t>
      </w:r>
    </w:p>
    <w:p w:rsidR="00977249" w:rsidRPr="00E95B31" w:rsidRDefault="00B80A24" w:rsidP="001B140F">
      <w:pPr>
        <w:pStyle w:val="SemEspaamento6"/>
        <w:tabs>
          <w:tab w:val="left" w:pos="284"/>
        </w:tabs>
        <w:jc w:val="both"/>
        <w:rPr>
          <w:rFonts w:ascii="Times New Roman" w:hAnsi="Times New Roman" w:cs="Times New Roman"/>
          <w:sz w:val="24"/>
          <w:szCs w:val="24"/>
          <w:lang w:eastAsia="pt-BR"/>
        </w:rPr>
      </w:pPr>
      <w:r w:rsidRPr="00E95B31">
        <w:rPr>
          <w:rFonts w:ascii="Times New Roman" w:hAnsi="Times New Roman" w:cs="Times New Roman"/>
          <w:sz w:val="24"/>
          <w:szCs w:val="24"/>
          <w:lang w:eastAsia="pt-BR"/>
        </w:rPr>
        <w:t>TEIXEIRA, E</w:t>
      </w:r>
      <w:r w:rsidR="006C6AC7" w:rsidRPr="00E95B31">
        <w:rPr>
          <w:rFonts w:ascii="Times New Roman" w:hAnsi="Times New Roman" w:cs="Times New Roman"/>
          <w:sz w:val="24"/>
          <w:szCs w:val="24"/>
          <w:lang w:eastAsia="pt-BR"/>
        </w:rPr>
        <w:t>.;</w:t>
      </w:r>
      <w:r w:rsidR="006C6AC7" w:rsidRPr="00E95B31">
        <w:rPr>
          <w:rFonts w:ascii="Times New Roman" w:hAnsi="Times New Roman" w:cs="Times New Roman"/>
          <w:sz w:val="24"/>
          <w:szCs w:val="24"/>
        </w:rPr>
        <w:t xml:space="preserve"> MEINERT, E.; BARBETTA, P.A.</w:t>
      </w:r>
      <w:r w:rsidRPr="00E95B31">
        <w:rPr>
          <w:rFonts w:ascii="Times New Roman" w:hAnsi="Times New Roman" w:cs="Times New Roman"/>
          <w:sz w:val="24"/>
          <w:szCs w:val="24"/>
        </w:rPr>
        <w:t xml:space="preserve"> </w:t>
      </w:r>
      <w:r w:rsidR="00977249" w:rsidRPr="00E95B31">
        <w:rPr>
          <w:rFonts w:ascii="Times New Roman" w:hAnsi="Times New Roman" w:cs="Times New Roman"/>
          <w:b/>
          <w:bCs/>
          <w:sz w:val="24"/>
          <w:szCs w:val="24"/>
          <w:lang w:eastAsia="pt-BR"/>
        </w:rPr>
        <w:t>Análise sensorial dos alimentos</w:t>
      </w:r>
      <w:r w:rsidR="00977249" w:rsidRPr="00E95B31">
        <w:rPr>
          <w:rFonts w:ascii="Times New Roman" w:hAnsi="Times New Roman" w:cs="Times New Roman"/>
          <w:sz w:val="24"/>
          <w:szCs w:val="24"/>
          <w:lang w:eastAsia="pt-BR"/>
        </w:rPr>
        <w:t>, Florianópolis: UFSC, 1987.</w:t>
      </w:r>
    </w:p>
    <w:p w:rsidR="00977249" w:rsidRPr="00E95B31" w:rsidRDefault="00977249" w:rsidP="001B140F">
      <w:pPr>
        <w:pStyle w:val="NormalWeb"/>
        <w:spacing w:before="0" w:beforeAutospacing="0" w:after="0" w:afterAutospacing="0"/>
        <w:jc w:val="both"/>
        <w:rPr>
          <w:sz w:val="24"/>
          <w:szCs w:val="24"/>
          <w:lang w:val="en-US"/>
        </w:rPr>
      </w:pPr>
      <w:r w:rsidRPr="00E95B31">
        <w:rPr>
          <w:sz w:val="24"/>
          <w:szCs w:val="24"/>
          <w:lang w:val="es-ES_tradnl"/>
        </w:rPr>
        <w:lastRenderedPageBreak/>
        <w:t>VASCONCELOS, A.C.</w:t>
      </w:r>
      <w:r w:rsidR="00467541" w:rsidRPr="00E95B31">
        <w:rPr>
          <w:sz w:val="24"/>
          <w:szCs w:val="24"/>
          <w:lang w:val="es-ES_tradnl"/>
        </w:rPr>
        <w:t>;</w:t>
      </w:r>
      <w:r w:rsidRPr="00E95B31">
        <w:rPr>
          <w:sz w:val="24"/>
          <w:szCs w:val="24"/>
          <w:lang w:val="es-ES_tradnl"/>
        </w:rPr>
        <w:t xml:space="preserve"> </w:t>
      </w:r>
      <w:r w:rsidR="006C6AC7" w:rsidRPr="00E95B31">
        <w:rPr>
          <w:sz w:val="24"/>
          <w:szCs w:val="24"/>
          <w:lang w:val="es-ES_tradnl"/>
        </w:rPr>
        <w:t>PONTES, D.F.; GARRUTI, D.S.; SILVA, A.P.V</w:t>
      </w:r>
      <w:r w:rsidRPr="00E95B31">
        <w:rPr>
          <w:sz w:val="24"/>
          <w:szCs w:val="24"/>
          <w:lang w:val="es-ES_tradnl"/>
        </w:rPr>
        <w:t xml:space="preserve">. </w:t>
      </w:r>
      <w:r w:rsidRPr="00E95B31">
        <w:rPr>
          <w:sz w:val="24"/>
          <w:szCs w:val="24"/>
        </w:rPr>
        <w:t xml:space="preserve">Processamento e aceitabilidade de pães de forma a partir de ingredientes funcionais: farinha de soja e fibra alimentar. </w:t>
      </w:r>
      <w:r w:rsidRPr="00E95B31">
        <w:rPr>
          <w:b/>
          <w:bCs/>
          <w:sz w:val="24"/>
          <w:szCs w:val="24"/>
          <w:lang w:val="en-US"/>
        </w:rPr>
        <w:t>Alimentação e Nutrição</w:t>
      </w:r>
      <w:r w:rsidRPr="00E95B31">
        <w:rPr>
          <w:sz w:val="24"/>
          <w:szCs w:val="24"/>
          <w:lang w:val="en-US"/>
        </w:rPr>
        <w:t xml:space="preserve">, </w:t>
      </w:r>
      <w:r w:rsidR="002A1842" w:rsidRPr="00E95B31">
        <w:rPr>
          <w:sz w:val="24"/>
          <w:szCs w:val="24"/>
          <w:lang w:val="en-US"/>
        </w:rPr>
        <w:t xml:space="preserve">Araraquara, </w:t>
      </w:r>
      <w:r w:rsidRPr="00E95B31">
        <w:rPr>
          <w:sz w:val="24"/>
          <w:szCs w:val="24"/>
          <w:lang w:val="en-US"/>
        </w:rPr>
        <w:t>v.17, n.1, p.43-49, 2006.</w:t>
      </w:r>
    </w:p>
    <w:p w:rsidR="006075FA" w:rsidRPr="00E95B31" w:rsidRDefault="006075FA" w:rsidP="001B140F">
      <w:pPr>
        <w:pStyle w:val="SemEspaamento6"/>
        <w:tabs>
          <w:tab w:val="left" w:pos="284"/>
        </w:tabs>
        <w:jc w:val="both"/>
        <w:rPr>
          <w:rFonts w:ascii="Times New Roman" w:hAnsi="Times New Roman" w:cs="Times New Roman"/>
          <w:sz w:val="24"/>
          <w:szCs w:val="24"/>
          <w:lang w:val="en-US" w:eastAsia="pt-BR"/>
        </w:rPr>
      </w:pPr>
      <w:r w:rsidRPr="00E95B31">
        <w:rPr>
          <w:rFonts w:ascii="Times New Roman" w:hAnsi="Times New Roman" w:cs="Times New Roman"/>
          <w:sz w:val="24"/>
          <w:szCs w:val="24"/>
          <w:lang w:val="en-US" w:eastAsia="pt-BR"/>
        </w:rPr>
        <w:t>WANG, Z.</w:t>
      </w:r>
      <w:r w:rsidR="00467541" w:rsidRPr="00E95B31">
        <w:rPr>
          <w:rFonts w:ascii="Times New Roman" w:hAnsi="Times New Roman" w:cs="Times New Roman"/>
          <w:sz w:val="24"/>
          <w:szCs w:val="24"/>
          <w:lang w:val="en-US" w:eastAsia="pt-BR"/>
        </w:rPr>
        <w:t>;</w:t>
      </w:r>
      <w:r w:rsidRPr="00E95B31">
        <w:rPr>
          <w:rFonts w:ascii="Times New Roman" w:hAnsi="Times New Roman" w:cs="Times New Roman"/>
          <w:sz w:val="24"/>
          <w:szCs w:val="24"/>
          <w:lang w:val="en-US" w:eastAsia="pt-BR"/>
        </w:rPr>
        <w:t xml:space="preserve"> </w:t>
      </w:r>
      <w:r w:rsidR="00467541" w:rsidRPr="00E95B31">
        <w:rPr>
          <w:rFonts w:ascii="Times New Roman" w:hAnsi="Times New Roman" w:cs="Times New Roman"/>
          <w:sz w:val="24"/>
          <w:szCs w:val="24"/>
          <w:lang w:val="en-US"/>
        </w:rPr>
        <w:t>WILSON, G.F.; GRIFFITH, L.C.</w:t>
      </w:r>
      <w:r w:rsidR="00467541" w:rsidRPr="00E95B31">
        <w:rPr>
          <w:rFonts w:ascii="Times New Roman" w:eastAsia="Times New Roman" w:hAnsi="Times New Roman" w:cs="Times New Roman"/>
          <w:sz w:val="24"/>
          <w:szCs w:val="24"/>
          <w:lang w:val="en-US" w:eastAsia="pt-BR"/>
        </w:rPr>
        <w:t xml:space="preserve"> </w:t>
      </w:r>
      <w:r w:rsidRPr="00E95B31">
        <w:rPr>
          <w:rFonts w:ascii="Times New Roman" w:eastAsia="Times New Roman" w:hAnsi="Times New Roman" w:cs="Times New Roman"/>
          <w:sz w:val="24"/>
          <w:szCs w:val="24"/>
          <w:lang w:val="en-US" w:eastAsia="pt-BR"/>
        </w:rPr>
        <w:t xml:space="preserve">Calcium/Calmodulin-dependent Protein Kinase II Phosphorylates and Regulates the </w:t>
      </w:r>
      <w:r w:rsidRPr="00E95B31">
        <w:rPr>
          <w:rFonts w:ascii="Times New Roman" w:eastAsia="Times New Roman" w:hAnsi="Times New Roman" w:cs="Times New Roman"/>
          <w:i/>
          <w:iCs/>
          <w:sz w:val="24"/>
          <w:szCs w:val="24"/>
          <w:lang w:val="en-US" w:eastAsia="pt-BR"/>
        </w:rPr>
        <w:t>Drosophila</w:t>
      </w:r>
      <w:r w:rsidRPr="00E95B31">
        <w:rPr>
          <w:rFonts w:ascii="Times New Roman" w:eastAsia="Times New Roman" w:hAnsi="Times New Roman" w:cs="Times New Roman"/>
          <w:sz w:val="24"/>
          <w:szCs w:val="24"/>
          <w:lang w:val="en-US" w:eastAsia="pt-BR"/>
        </w:rPr>
        <w:t xml:space="preserve"> Eag Potassium Channel</w:t>
      </w:r>
      <w:r w:rsidRPr="00E95B31">
        <w:rPr>
          <w:rFonts w:ascii="Times New Roman" w:hAnsi="Times New Roman" w:cs="Times New Roman"/>
          <w:sz w:val="24"/>
          <w:szCs w:val="24"/>
          <w:lang w:val="en-US" w:eastAsia="pt-BR"/>
        </w:rPr>
        <w:t xml:space="preserve">. </w:t>
      </w:r>
      <w:r w:rsidRPr="00E95B31">
        <w:rPr>
          <w:rFonts w:ascii="Times New Roman" w:hAnsi="Times New Roman" w:cs="Times New Roman"/>
          <w:b/>
          <w:bCs/>
          <w:sz w:val="24"/>
          <w:szCs w:val="24"/>
          <w:lang w:val="en-US" w:eastAsia="pt-BR"/>
        </w:rPr>
        <w:t xml:space="preserve">The Journal of Biological Chemistry, </w:t>
      </w:r>
      <w:r w:rsidR="002A1842" w:rsidRPr="00E95B31">
        <w:rPr>
          <w:rStyle w:val="Forte"/>
          <w:rFonts w:ascii="Times New Roman" w:hAnsi="Times New Roman" w:cs="Times New Roman"/>
          <w:b w:val="0"/>
          <w:sz w:val="24"/>
          <w:szCs w:val="24"/>
          <w:lang w:val="en-US"/>
        </w:rPr>
        <w:t xml:space="preserve">Rockville, </w:t>
      </w:r>
      <w:r w:rsidRPr="00E95B31">
        <w:rPr>
          <w:rFonts w:ascii="Times New Roman" w:hAnsi="Times New Roman" w:cs="Times New Roman"/>
          <w:sz w:val="24"/>
          <w:szCs w:val="24"/>
          <w:lang w:val="en-US" w:eastAsia="pt-BR"/>
        </w:rPr>
        <w:t xml:space="preserve">v.277, n.27, p.24022-24029, 2002. </w:t>
      </w:r>
    </w:p>
    <w:p w:rsidR="00977249" w:rsidRPr="00E95B31" w:rsidRDefault="00977249" w:rsidP="001B140F">
      <w:pPr>
        <w:pStyle w:val="SemEspaamento6"/>
        <w:tabs>
          <w:tab w:val="left" w:pos="284"/>
        </w:tabs>
        <w:jc w:val="both"/>
        <w:rPr>
          <w:rFonts w:ascii="Times New Roman" w:hAnsi="Times New Roman" w:cs="Times New Roman"/>
          <w:sz w:val="24"/>
          <w:szCs w:val="24"/>
        </w:rPr>
      </w:pPr>
      <w:r w:rsidRPr="00E95B31">
        <w:rPr>
          <w:rFonts w:ascii="Times New Roman" w:hAnsi="Times New Roman" w:cs="Times New Roman"/>
          <w:sz w:val="24"/>
          <w:szCs w:val="24"/>
          <w:lang w:val="en-US"/>
        </w:rPr>
        <w:t xml:space="preserve">VON ATZINGEN, M.C.B.C.; PINTO E SILVA, M.E.M. Sensory characteristics of food as a determinant of food choices. </w:t>
      </w:r>
      <w:r w:rsidRPr="00E95B31">
        <w:rPr>
          <w:rFonts w:ascii="Times New Roman" w:hAnsi="Times New Roman" w:cs="Times New Roman"/>
          <w:b/>
          <w:bCs/>
          <w:sz w:val="24"/>
          <w:szCs w:val="24"/>
        </w:rPr>
        <w:t>Nutrire:</w:t>
      </w:r>
      <w:r w:rsidRPr="00E95B31">
        <w:rPr>
          <w:rFonts w:ascii="Times New Roman" w:hAnsi="Times New Roman" w:cs="Times New Roman"/>
          <w:sz w:val="24"/>
          <w:szCs w:val="24"/>
        </w:rPr>
        <w:t xml:space="preserve"> </w:t>
      </w:r>
      <w:r w:rsidRPr="00E95B31">
        <w:rPr>
          <w:rFonts w:ascii="Times New Roman" w:hAnsi="Times New Roman" w:cs="Times New Roman"/>
          <w:b/>
          <w:bCs/>
          <w:sz w:val="24"/>
          <w:szCs w:val="24"/>
        </w:rPr>
        <w:t>Revista Sociedade Brasileira de alimentação e Nutrição,</w:t>
      </w:r>
      <w:r w:rsidR="002A1842" w:rsidRPr="00E95B31">
        <w:rPr>
          <w:rFonts w:ascii="Times New Roman" w:hAnsi="Times New Roman" w:cs="Times New Roman"/>
          <w:b/>
          <w:bCs/>
          <w:sz w:val="24"/>
          <w:szCs w:val="24"/>
        </w:rPr>
        <w:t xml:space="preserve"> </w:t>
      </w:r>
      <w:r w:rsidR="002A1842" w:rsidRPr="00E95B31">
        <w:rPr>
          <w:rFonts w:ascii="Times New Roman" w:hAnsi="Times New Roman" w:cs="Times New Roman"/>
          <w:bCs/>
          <w:sz w:val="24"/>
          <w:szCs w:val="24"/>
        </w:rPr>
        <w:t>São Paulo,</w:t>
      </w:r>
      <w:r w:rsidRPr="00E95B31">
        <w:rPr>
          <w:rFonts w:ascii="Times New Roman" w:hAnsi="Times New Roman" w:cs="Times New Roman"/>
          <w:b/>
          <w:bCs/>
          <w:sz w:val="24"/>
          <w:szCs w:val="24"/>
        </w:rPr>
        <w:t xml:space="preserve"> </w:t>
      </w:r>
      <w:r w:rsidRPr="00E95B31">
        <w:rPr>
          <w:rFonts w:ascii="Times New Roman" w:hAnsi="Times New Roman" w:cs="Times New Roman"/>
          <w:sz w:val="24"/>
          <w:szCs w:val="24"/>
        </w:rPr>
        <w:t>v.35, n.3, p</w:t>
      </w:r>
      <w:r w:rsidR="002A1842" w:rsidRPr="00E95B31">
        <w:rPr>
          <w:rFonts w:ascii="Times New Roman" w:hAnsi="Times New Roman" w:cs="Times New Roman"/>
          <w:sz w:val="24"/>
          <w:szCs w:val="24"/>
        </w:rPr>
        <w:t>.</w:t>
      </w:r>
      <w:r w:rsidRPr="00E95B31">
        <w:rPr>
          <w:rFonts w:ascii="Times New Roman" w:hAnsi="Times New Roman" w:cs="Times New Roman"/>
          <w:sz w:val="24"/>
          <w:szCs w:val="24"/>
        </w:rPr>
        <w:t>183-196, 2010.</w:t>
      </w:r>
    </w:p>
    <w:sectPr w:rsidR="00977249" w:rsidRPr="00E95B31" w:rsidSect="000000BD">
      <w:footerReference w:type="default" r:id="rId19"/>
      <w:pgSz w:w="11906" w:h="16838" w:code="9"/>
      <w:pgMar w:top="1134" w:right="1134" w:bottom="1134" w:left="1134" w:header="709" w:footer="709" w:gutter="0"/>
      <w:lnNumType w:countBy="1" w:restart="continuou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AAB" w:rsidRDefault="00E12AAB">
      <w:r>
        <w:separator/>
      </w:r>
    </w:p>
  </w:endnote>
  <w:endnote w:type="continuationSeparator" w:id="1">
    <w:p w:rsidR="00E12AAB" w:rsidRDefault="00E12A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BA0" w:rsidRDefault="006119A4" w:rsidP="00F42BB1">
    <w:pPr>
      <w:pStyle w:val="Rodap"/>
      <w:framePr w:wrap="auto" w:vAnchor="text" w:hAnchor="margin" w:xAlign="right" w:y="1"/>
      <w:rPr>
        <w:rStyle w:val="Nmerodepgina"/>
      </w:rPr>
    </w:pPr>
    <w:r>
      <w:rPr>
        <w:rStyle w:val="Nmerodepgina"/>
      </w:rPr>
      <w:fldChar w:fldCharType="begin"/>
    </w:r>
    <w:r w:rsidR="00427BA0">
      <w:rPr>
        <w:rStyle w:val="Nmerodepgina"/>
      </w:rPr>
      <w:instrText xml:space="preserve">PAGE  </w:instrText>
    </w:r>
    <w:r>
      <w:rPr>
        <w:rStyle w:val="Nmerodepgina"/>
      </w:rPr>
      <w:fldChar w:fldCharType="separate"/>
    </w:r>
    <w:r w:rsidR="00BD1DF2">
      <w:rPr>
        <w:rStyle w:val="Nmerodepgina"/>
        <w:noProof/>
      </w:rPr>
      <w:t>1</w:t>
    </w:r>
    <w:r>
      <w:rPr>
        <w:rStyle w:val="Nmerodepgina"/>
      </w:rPr>
      <w:fldChar w:fldCharType="end"/>
    </w:r>
  </w:p>
  <w:p w:rsidR="00427BA0" w:rsidRDefault="00427BA0" w:rsidP="00A553B8">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AAB" w:rsidRDefault="00E12AAB">
      <w:r>
        <w:separator/>
      </w:r>
    </w:p>
  </w:footnote>
  <w:footnote w:type="continuationSeparator" w:id="1">
    <w:p w:rsidR="00E12AAB" w:rsidRDefault="00E12A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EBE38FA"/>
    <w:multiLevelType w:val="multilevel"/>
    <w:tmpl w:val="2680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3D254D"/>
    <w:multiLevelType w:val="multilevel"/>
    <w:tmpl w:val="60BEBD5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2D60680F"/>
    <w:multiLevelType w:val="hybridMultilevel"/>
    <w:tmpl w:val="983A8A9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4F7C14CC"/>
    <w:multiLevelType w:val="multilevel"/>
    <w:tmpl w:val="FACC0B4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52C923AA"/>
    <w:multiLevelType w:val="multilevel"/>
    <w:tmpl w:val="E716B7E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5D3F78C5"/>
    <w:multiLevelType w:val="multilevel"/>
    <w:tmpl w:val="E0BC4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48B5755"/>
    <w:multiLevelType w:val="multilevel"/>
    <w:tmpl w:val="3BCA49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7C051347"/>
    <w:multiLevelType w:val="hybridMultilevel"/>
    <w:tmpl w:val="282A1804"/>
    <w:lvl w:ilvl="0" w:tplc="97CAC24C">
      <w:start w:val="1"/>
      <w:numFmt w:val="decimal"/>
      <w:lvlText w:val="%1."/>
      <w:lvlJc w:val="left"/>
      <w:pPr>
        <w:tabs>
          <w:tab w:val="num" w:pos="360"/>
        </w:tabs>
        <w:ind w:left="360" w:hanging="360"/>
      </w:pPr>
      <w:rPr>
        <w:b w:val="0"/>
        <w:bCs w:val="0"/>
        <w:i w:val="0"/>
        <w:iCs w:val="0"/>
      </w:rPr>
    </w:lvl>
    <w:lvl w:ilvl="1" w:tplc="04160019">
      <w:start w:val="1"/>
      <w:numFmt w:val="lowerLetter"/>
      <w:lvlText w:val="%2."/>
      <w:lvlJc w:val="left"/>
      <w:pPr>
        <w:tabs>
          <w:tab w:val="num" w:pos="1080"/>
        </w:tabs>
        <w:ind w:left="1080" w:hanging="360"/>
      </w:pPr>
    </w:lvl>
    <w:lvl w:ilvl="2" w:tplc="0416001B">
      <w:start w:val="1"/>
      <w:numFmt w:val="lowerRoman"/>
      <w:lvlText w:val="%3."/>
      <w:lvlJc w:val="right"/>
      <w:pPr>
        <w:tabs>
          <w:tab w:val="num" w:pos="1800"/>
        </w:tabs>
        <w:ind w:left="1800" w:hanging="180"/>
      </w:pPr>
    </w:lvl>
    <w:lvl w:ilvl="3" w:tplc="0416000F">
      <w:start w:val="1"/>
      <w:numFmt w:val="decimal"/>
      <w:lvlText w:val="%4."/>
      <w:lvlJc w:val="left"/>
      <w:pPr>
        <w:tabs>
          <w:tab w:val="num" w:pos="2520"/>
        </w:tabs>
        <w:ind w:left="2520" w:hanging="360"/>
      </w:pPr>
    </w:lvl>
    <w:lvl w:ilvl="4" w:tplc="04160019">
      <w:start w:val="1"/>
      <w:numFmt w:val="lowerLetter"/>
      <w:lvlText w:val="%5."/>
      <w:lvlJc w:val="left"/>
      <w:pPr>
        <w:tabs>
          <w:tab w:val="num" w:pos="3240"/>
        </w:tabs>
        <w:ind w:left="3240" w:hanging="360"/>
      </w:pPr>
    </w:lvl>
    <w:lvl w:ilvl="5" w:tplc="0416001B">
      <w:start w:val="1"/>
      <w:numFmt w:val="lowerRoman"/>
      <w:lvlText w:val="%6."/>
      <w:lvlJc w:val="right"/>
      <w:pPr>
        <w:tabs>
          <w:tab w:val="num" w:pos="3960"/>
        </w:tabs>
        <w:ind w:left="3960" w:hanging="180"/>
      </w:pPr>
    </w:lvl>
    <w:lvl w:ilvl="6" w:tplc="0416000F">
      <w:start w:val="1"/>
      <w:numFmt w:val="decimal"/>
      <w:lvlText w:val="%7."/>
      <w:lvlJc w:val="left"/>
      <w:pPr>
        <w:tabs>
          <w:tab w:val="num" w:pos="4680"/>
        </w:tabs>
        <w:ind w:left="4680" w:hanging="360"/>
      </w:pPr>
    </w:lvl>
    <w:lvl w:ilvl="7" w:tplc="04160019">
      <w:start w:val="1"/>
      <w:numFmt w:val="lowerLetter"/>
      <w:lvlText w:val="%8."/>
      <w:lvlJc w:val="left"/>
      <w:pPr>
        <w:tabs>
          <w:tab w:val="num" w:pos="5400"/>
        </w:tabs>
        <w:ind w:left="5400" w:hanging="360"/>
      </w:pPr>
    </w:lvl>
    <w:lvl w:ilvl="8" w:tplc="0416001B">
      <w:start w:val="1"/>
      <w:numFmt w:val="lowerRoman"/>
      <w:lvlText w:val="%9."/>
      <w:lvlJc w:val="right"/>
      <w:pPr>
        <w:tabs>
          <w:tab w:val="num" w:pos="6120"/>
        </w:tabs>
        <w:ind w:left="6120" w:hanging="180"/>
      </w:pPr>
    </w:lvl>
  </w:abstractNum>
  <w:num w:numId="1">
    <w:abstractNumId w:val="0"/>
  </w:num>
  <w:num w:numId="2">
    <w:abstractNumId w:val="3"/>
  </w:num>
  <w:num w:numId="3">
    <w:abstractNumId w:val="8"/>
  </w:num>
  <w:num w:numId="4">
    <w:abstractNumId w:val="4"/>
  </w:num>
  <w:num w:numId="5">
    <w:abstractNumId w:val="7"/>
  </w:num>
  <w:num w:numId="6">
    <w:abstractNumId w:val="2"/>
  </w:num>
  <w:num w:numId="7">
    <w:abstractNumId w:val="5"/>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rsids>
    <w:rsidRoot w:val="00923AE8"/>
    <w:rsid w:val="000000BD"/>
    <w:rsid w:val="000005EC"/>
    <w:rsid w:val="000026EF"/>
    <w:rsid w:val="00002C8F"/>
    <w:rsid w:val="00003D12"/>
    <w:rsid w:val="00004BBA"/>
    <w:rsid w:val="000050B9"/>
    <w:rsid w:val="00012207"/>
    <w:rsid w:val="00013E00"/>
    <w:rsid w:val="00014E0C"/>
    <w:rsid w:val="00016D18"/>
    <w:rsid w:val="00017159"/>
    <w:rsid w:val="00023413"/>
    <w:rsid w:val="000266E7"/>
    <w:rsid w:val="00026D25"/>
    <w:rsid w:val="00027477"/>
    <w:rsid w:val="00027629"/>
    <w:rsid w:val="00030A5E"/>
    <w:rsid w:val="00031800"/>
    <w:rsid w:val="000362CE"/>
    <w:rsid w:val="00037810"/>
    <w:rsid w:val="00046939"/>
    <w:rsid w:val="000502FF"/>
    <w:rsid w:val="00053CAF"/>
    <w:rsid w:val="00055984"/>
    <w:rsid w:val="00055ECC"/>
    <w:rsid w:val="0006110F"/>
    <w:rsid w:val="00062547"/>
    <w:rsid w:val="00065B1D"/>
    <w:rsid w:val="00071A6B"/>
    <w:rsid w:val="00076300"/>
    <w:rsid w:val="00076FD6"/>
    <w:rsid w:val="00082C88"/>
    <w:rsid w:val="000830B2"/>
    <w:rsid w:val="00086060"/>
    <w:rsid w:val="000905BA"/>
    <w:rsid w:val="000940B2"/>
    <w:rsid w:val="000940E6"/>
    <w:rsid w:val="000968A6"/>
    <w:rsid w:val="00097D9A"/>
    <w:rsid w:val="000A1496"/>
    <w:rsid w:val="000A1968"/>
    <w:rsid w:val="000A1C23"/>
    <w:rsid w:val="000A3BB2"/>
    <w:rsid w:val="000A62E7"/>
    <w:rsid w:val="000A69D4"/>
    <w:rsid w:val="000A7541"/>
    <w:rsid w:val="000B0F54"/>
    <w:rsid w:val="000B6AED"/>
    <w:rsid w:val="000C0935"/>
    <w:rsid w:val="000C494E"/>
    <w:rsid w:val="000C528C"/>
    <w:rsid w:val="000C54F1"/>
    <w:rsid w:val="000C650C"/>
    <w:rsid w:val="000C6750"/>
    <w:rsid w:val="000C717D"/>
    <w:rsid w:val="000C7D52"/>
    <w:rsid w:val="000D68C5"/>
    <w:rsid w:val="000D6BF1"/>
    <w:rsid w:val="000E0071"/>
    <w:rsid w:val="000E08FC"/>
    <w:rsid w:val="000E1755"/>
    <w:rsid w:val="000E7BA8"/>
    <w:rsid w:val="000F112F"/>
    <w:rsid w:val="001009B3"/>
    <w:rsid w:val="00101636"/>
    <w:rsid w:val="00102B6E"/>
    <w:rsid w:val="00106348"/>
    <w:rsid w:val="0011199F"/>
    <w:rsid w:val="001132EC"/>
    <w:rsid w:val="00113720"/>
    <w:rsid w:val="0011467D"/>
    <w:rsid w:val="00115598"/>
    <w:rsid w:val="00116A56"/>
    <w:rsid w:val="00121222"/>
    <w:rsid w:val="0012472D"/>
    <w:rsid w:val="0012576D"/>
    <w:rsid w:val="0012720A"/>
    <w:rsid w:val="0012743E"/>
    <w:rsid w:val="00131594"/>
    <w:rsid w:val="001330EE"/>
    <w:rsid w:val="0013461D"/>
    <w:rsid w:val="0014238F"/>
    <w:rsid w:val="0014396B"/>
    <w:rsid w:val="00143F45"/>
    <w:rsid w:val="00143FD0"/>
    <w:rsid w:val="00144C5B"/>
    <w:rsid w:val="00153EAB"/>
    <w:rsid w:val="0016275C"/>
    <w:rsid w:val="001643D9"/>
    <w:rsid w:val="001657B8"/>
    <w:rsid w:val="001675DB"/>
    <w:rsid w:val="00170F2F"/>
    <w:rsid w:val="001754E2"/>
    <w:rsid w:val="0017590E"/>
    <w:rsid w:val="00176295"/>
    <w:rsid w:val="0017674E"/>
    <w:rsid w:val="00183566"/>
    <w:rsid w:val="00184796"/>
    <w:rsid w:val="00192755"/>
    <w:rsid w:val="00193D23"/>
    <w:rsid w:val="001961DA"/>
    <w:rsid w:val="001A3CAC"/>
    <w:rsid w:val="001A78B1"/>
    <w:rsid w:val="001B0712"/>
    <w:rsid w:val="001B140F"/>
    <w:rsid w:val="001B2BAC"/>
    <w:rsid w:val="001B3221"/>
    <w:rsid w:val="001B5FD8"/>
    <w:rsid w:val="001B6541"/>
    <w:rsid w:val="001C0CEC"/>
    <w:rsid w:val="001C1C28"/>
    <w:rsid w:val="001C2177"/>
    <w:rsid w:val="001C352C"/>
    <w:rsid w:val="001D023E"/>
    <w:rsid w:val="001D07B9"/>
    <w:rsid w:val="001D4667"/>
    <w:rsid w:val="001D4D69"/>
    <w:rsid w:val="001D7394"/>
    <w:rsid w:val="001D7D96"/>
    <w:rsid w:val="001E114B"/>
    <w:rsid w:val="001E135C"/>
    <w:rsid w:val="001E29B2"/>
    <w:rsid w:val="001E6C93"/>
    <w:rsid w:val="001E7422"/>
    <w:rsid w:val="001F26BF"/>
    <w:rsid w:val="001F6E9F"/>
    <w:rsid w:val="002070DA"/>
    <w:rsid w:val="002132D3"/>
    <w:rsid w:val="002140A6"/>
    <w:rsid w:val="00217AAB"/>
    <w:rsid w:val="00217BE9"/>
    <w:rsid w:val="00221B48"/>
    <w:rsid w:val="00222069"/>
    <w:rsid w:val="002249E1"/>
    <w:rsid w:val="00225697"/>
    <w:rsid w:val="002261CA"/>
    <w:rsid w:val="00227E58"/>
    <w:rsid w:val="00233A4A"/>
    <w:rsid w:val="0024236B"/>
    <w:rsid w:val="00244C4C"/>
    <w:rsid w:val="0024637D"/>
    <w:rsid w:val="00250378"/>
    <w:rsid w:val="0025534A"/>
    <w:rsid w:val="002619B0"/>
    <w:rsid w:val="00261F4B"/>
    <w:rsid w:val="00263F04"/>
    <w:rsid w:val="00264D48"/>
    <w:rsid w:val="00266676"/>
    <w:rsid w:val="0026781F"/>
    <w:rsid w:val="00271150"/>
    <w:rsid w:val="002720EB"/>
    <w:rsid w:val="00273535"/>
    <w:rsid w:val="00274067"/>
    <w:rsid w:val="002752F6"/>
    <w:rsid w:val="00276330"/>
    <w:rsid w:val="0027781B"/>
    <w:rsid w:val="0028107F"/>
    <w:rsid w:val="00282D95"/>
    <w:rsid w:val="002836C4"/>
    <w:rsid w:val="002852AD"/>
    <w:rsid w:val="00285806"/>
    <w:rsid w:val="00285FEE"/>
    <w:rsid w:val="0029459A"/>
    <w:rsid w:val="002A0850"/>
    <w:rsid w:val="002A1262"/>
    <w:rsid w:val="002A1842"/>
    <w:rsid w:val="002A4571"/>
    <w:rsid w:val="002A5008"/>
    <w:rsid w:val="002A564E"/>
    <w:rsid w:val="002B058A"/>
    <w:rsid w:val="002B6512"/>
    <w:rsid w:val="002B6FB6"/>
    <w:rsid w:val="002B7D31"/>
    <w:rsid w:val="002C1AEA"/>
    <w:rsid w:val="002C25FC"/>
    <w:rsid w:val="002C653A"/>
    <w:rsid w:val="002D1F31"/>
    <w:rsid w:val="002D3667"/>
    <w:rsid w:val="002D5AA8"/>
    <w:rsid w:val="002D7F98"/>
    <w:rsid w:val="002D7FF6"/>
    <w:rsid w:val="002E1CCB"/>
    <w:rsid w:val="002E24FF"/>
    <w:rsid w:val="002E496D"/>
    <w:rsid w:val="002E6A57"/>
    <w:rsid w:val="002E7282"/>
    <w:rsid w:val="002F0B80"/>
    <w:rsid w:val="002F0B90"/>
    <w:rsid w:val="002F244A"/>
    <w:rsid w:val="002F2B60"/>
    <w:rsid w:val="002F317D"/>
    <w:rsid w:val="002F45CE"/>
    <w:rsid w:val="00301BA6"/>
    <w:rsid w:val="00303AEE"/>
    <w:rsid w:val="00304A72"/>
    <w:rsid w:val="00304B44"/>
    <w:rsid w:val="003063B0"/>
    <w:rsid w:val="00313FF4"/>
    <w:rsid w:val="003149C8"/>
    <w:rsid w:val="003166E4"/>
    <w:rsid w:val="00320D42"/>
    <w:rsid w:val="003229EE"/>
    <w:rsid w:val="003304E2"/>
    <w:rsid w:val="00335BB8"/>
    <w:rsid w:val="00335FC2"/>
    <w:rsid w:val="00336767"/>
    <w:rsid w:val="00341E77"/>
    <w:rsid w:val="00347A71"/>
    <w:rsid w:val="00350470"/>
    <w:rsid w:val="0035084B"/>
    <w:rsid w:val="003512B6"/>
    <w:rsid w:val="00352964"/>
    <w:rsid w:val="00353137"/>
    <w:rsid w:val="00354E31"/>
    <w:rsid w:val="00355148"/>
    <w:rsid w:val="00361EE2"/>
    <w:rsid w:val="00363294"/>
    <w:rsid w:val="00365551"/>
    <w:rsid w:val="00365C00"/>
    <w:rsid w:val="00366599"/>
    <w:rsid w:val="003673E1"/>
    <w:rsid w:val="00371BE2"/>
    <w:rsid w:val="00371C2D"/>
    <w:rsid w:val="00371CA0"/>
    <w:rsid w:val="00374A19"/>
    <w:rsid w:val="0038013B"/>
    <w:rsid w:val="00382CBE"/>
    <w:rsid w:val="00393E6C"/>
    <w:rsid w:val="003967F5"/>
    <w:rsid w:val="00396F74"/>
    <w:rsid w:val="003A22DC"/>
    <w:rsid w:val="003A2D61"/>
    <w:rsid w:val="003A36FE"/>
    <w:rsid w:val="003A3B8C"/>
    <w:rsid w:val="003A54B3"/>
    <w:rsid w:val="003B5110"/>
    <w:rsid w:val="003B616C"/>
    <w:rsid w:val="003B651E"/>
    <w:rsid w:val="003D2C38"/>
    <w:rsid w:val="003D3375"/>
    <w:rsid w:val="003D7455"/>
    <w:rsid w:val="003E7B58"/>
    <w:rsid w:val="003F30C4"/>
    <w:rsid w:val="004005BC"/>
    <w:rsid w:val="00400E08"/>
    <w:rsid w:val="00403802"/>
    <w:rsid w:val="00410CB9"/>
    <w:rsid w:val="00411727"/>
    <w:rsid w:val="00411EB6"/>
    <w:rsid w:val="00414BF6"/>
    <w:rsid w:val="00416EB0"/>
    <w:rsid w:val="00421180"/>
    <w:rsid w:val="00422529"/>
    <w:rsid w:val="00422995"/>
    <w:rsid w:val="00422C26"/>
    <w:rsid w:val="004234DE"/>
    <w:rsid w:val="004251D0"/>
    <w:rsid w:val="00425982"/>
    <w:rsid w:val="00427BA0"/>
    <w:rsid w:val="004326BC"/>
    <w:rsid w:val="00436E0E"/>
    <w:rsid w:val="004452C9"/>
    <w:rsid w:val="004464F0"/>
    <w:rsid w:val="00452B02"/>
    <w:rsid w:val="00452C1A"/>
    <w:rsid w:val="00452CAF"/>
    <w:rsid w:val="00453589"/>
    <w:rsid w:val="004565F6"/>
    <w:rsid w:val="0045697B"/>
    <w:rsid w:val="00456E59"/>
    <w:rsid w:val="00460045"/>
    <w:rsid w:val="00460B19"/>
    <w:rsid w:val="00467541"/>
    <w:rsid w:val="004741FE"/>
    <w:rsid w:val="0048114F"/>
    <w:rsid w:val="004823D8"/>
    <w:rsid w:val="004840C8"/>
    <w:rsid w:val="004841F9"/>
    <w:rsid w:val="00487DE0"/>
    <w:rsid w:val="00492647"/>
    <w:rsid w:val="0049304A"/>
    <w:rsid w:val="00493B73"/>
    <w:rsid w:val="004958DF"/>
    <w:rsid w:val="004A0426"/>
    <w:rsid w:val="004A35D8"/>
    <w:rsid w:val="004A3E5E"/>
    <w:rsid w:val="004B4081"/>
    <w:rsid w:val="004B4901"/>
    <w:rsid w:val="004B773E"/>
    <w:rsid w:val="004C1953"/>
    <w:rsid w:val="004C1E35"/>
    <w:rsid w:val="004C3418"/>
    <w:rsid w:val="004C6C04"/>
    <w:rsid w:val="004D4615"/>
    <w:rsid w:val="004D55D0"/>
    <w:rsid w:val="004E0784"/>
    <w:rsid w:val="004E291F"/>
    <w:rsid w:val="004E4581"/>
    <w:rsid w:val="004E4D7B"/>
    <w:rsid w:val="004E7239"/>
    <w:rsid w:val="004F0CCE"/>
    <w:rsid w:val="004F1002"/>
    <w:rsid w:val="004F20E4"/>
    <w:rsid w:val="004F730C"/>
    <w:rsid w:val="00501102"/>
    <w:rsid w:val="00503818"/>
    <w:rsid w:val="005055EC"/>
    <w:rsid w:val="005057A5"/>
    <w:rsid w:val="00507819"/>
    <w:rsid w:val="0050784D"/>
    <w:rsid w:val="00507BF2"/>
    <w:rsid w:val="005130E6"/>
    <w:rsid w:val="0051367C"/>
    <w:rsid w:val="005140D4"/>
    <w:rsid w:val="005141AE"/>
    <w:rsid w:val="00516CE6"/>
    <w:rsid w:val="00516FCE"/>
    <w:rsid w:val="0052011C"/>
    <w:rsid w:val="00524C3F"/>
    <w:rsid w:val="00525FBD"/>
    <w:rsid w:val="00527FFD"/>
    <w:rsid w:val="00530542"/>
    <w:rsid w:val="00531292"/>
    <w:rsid w:val="0053462A"/>
    <w:rsid w:val="00534737"/>
    <w:rsid w:val="00536C09"/>
    <w:rsid w:val="00540331"/>
    <w:rsid w:val="00540618"/>
    <w:rsid w:val="00540C39"/>
    <w:rsid w:val="0054398E"/>
    <w:rsid w:val="00543A35"/>
    <w:rsid w:val="0054640E"/>
    <w:rsid w:val="005502F0"/>
    <w:rsid w:val="00550AAC"/>
    <w:rsid w:val="00550B45"/>
    <w:rsid w:val="00550CB1"/>
    <w:rsid w:val="00560981"/>
    <w:rsid w:val="00562101"/>
    <w:rsid w:val="005634D5"/>
    <w:rsid w:val="00563A3A"/>
    <w:rsid w:val="00564100"/>
    <w:rsid w:val="00570D40"/>
    <w:rsid w:val="00571A63"/>
    <w:rsid w:val="00571FCF"/>
    <w:rsid w:val="00572217"/>
    <w:rsid w:val="00572C55"/>
    <w:rsid w:val="005735E7"/>
    <w:rsid w:val="005737B9"/>
    <w:rsid w:val="0057575F"/>
    <w:rsid w:val="00577AE0"/>
    <w:rsid w:val="00577D68"/>
    <w:rsid w:val="005804E8"/>
    <w:rsid w:val="00580DEB"/>
    <w:rsid w:val="00584136"/>
    <w:rsid w:val="00587C88"/>
    <w:rsid w:val="00587F15"/>
    <w:rsid w:val="00591588"/>
    <w:rsid w:val="00591912"/>
    <w:rsid w:val="00594665"/>
    <w:rsid w:val="00595563"/>
    <w:rsid w:val="00595FA3"/>
    <w:rsid w:val="005A34F3"/>
    <w:rsid w:val="005A43C9"/>
    <w:rsid w:val="005A4AD7"/>
    <w:rsid w:val="005A793D"/>
    <w:rsid w:val="005B0223"/>
    <w:rsid w:val="005B15C2"/>
    <w:rsid w:val="005B45BB"/>
    <w:rsid w:val="005B55C6"/>
    <w:rsid w:val="005B7AC2"/>
    <w:rsid w:val="005B7BD8"/>
    <w:rsid w:val="005C621A"/>
    <w:rsid w:val="005C6F11"/>
    <w:rsid w:val="005D2953"/>
    <w:rsid w:val="005D3ECC"/>
    <w:rsid w:val="005D40FC"/>
    <w:rsid w:val="005D4729"/>
    <w:rsid w:val="005E21FE"/>
    <w:rsid w:val="005E48CB"/>
    <w:rsid w:val="005E4B0F"/>
    <w:rsid w:val="005E5BF5"/>
    <w:rsid w:val="005E604B"/>
    <w:rsid w:val="005F7645"/>
    <w:rsid w:val="006008CF"/>
    <w:rsid w:val="006035BF"/>
    <w:rsid w:val="006041D2"/>
    <w:rsid w:val="00604715"/>
    <w:rsid w:val="00606626"/>
    <w:rsid w:val="006066C6"/>
    <w:rsid w:val="00606986"/>
    <w:rsid w:val="006075FA"/>
    <w:rsid w:val="00607AB1"/>
    <w:rsid w:val="006119A4"/>
    <w:rsid w:val="006132A2"/>
    <w:rsid w:val="00615EBD"/>
    <w:rsid w:val="00616E51"/>
    <w:rsid w:val="006223A0"/>
    <w:rsid w:val="00633D1E"/>
    <w:rsid w:val="00633EE9"/>
    <w:rsid w:val="00634F25"/>
    <w:rsid w:val="0064053B"/>
    <w:rsid w:val="00640C62"/>
    <w:rsid w:val="006425EE"/>
    <w:rsid w:val="006427DC"/>
    <w:rsid w:val="00645611"/>
    <w:rsid w:val="006464B2"/>
    <w:rsid w:val="006475AC"/>
    <w:rsid w:val="00655C76"/>
    <w:rsid w:val="00660BE8"/>
    <w:rsid w:val="00662382"/>
    <w:rsid w:val="006631F8"/>
    <w:rsid w:val="00663715"/>
    <w:rsid w:val="006646F0"/>
    <w:rsid w:val="00664936"/>
    <w:rsid w:val="00665401"/>
    <w:rsid w:val="00666C6A"/>
    <w:rsid w:val="00667A78"/>
    <w:rsid w:val="00671F4A"/>
    <w:rsid w:val="006801AA"/>
    <w:rsid w:val="006806DF"/>
    <w:rsid w:val="00682914"/>
    <w:rsid w:val="00690EFE"/>
    <w:rsid w:val="00697B03"/>
    <w:rsid w:val="006A041D"/>
    <w:rsid w:val="006A39ED"/>
    <w:rsid w:val="006A44F1"/>
    <w:rsid w:val="006A5D0D"/>
    <w:rsid w:val="006A65E1"/>
    <w:rsid w:val="006B1BF1"/>
    <w:rsid w:val="006B26D9"/>
    <w:rsid w:val="006B280A"/>
    <w:rsid w:val="006B4FAC"/>
    <w:rsid w:val="006C220A"/>
    <w:rsid w:val="006C4E2E"/>
    <w:rsid w:val="006C5D91"/>
    <w:rsid w:val="006C6AC7"/>
    <w:rsid w:val="006C757E"/>
    <w:rsid w:val="006D7CA8"/>
    <w:rsid w:val="006E17AF"/>
    <w:rsid w:val="006E4265"/>
    <w:rsid w:val="006E4504"/>
    <w:rsid w:val="006F02C4"/>
    <w:rsid w:val="006F1843"/>
    <w:rsid w:val="006F3936"/>
    <w:rsid w:val="006F3A24"/>
    <w:rsid w:val="006F3CDC"/>
    <w:rsid w:val="006F4218"/>
    <w:rsid w:val="006F50A6"/>
    <w:rsid w:val="006F7302"/>
    <w:rsid w:val="006F7329"/>
    <w:rsid w:val="00702725"/>
    <w:rsid w:val="00705305"/>
    <w:rsid w:val="00706E43"/>
    <w:rsid w:val="00721369"/>
    <w:rsid w:val="00722EDD"/>
    <w:rsid w:val="0072361C"/>
    <w:rsid w:val="007243A9"/>
    <w:rsid w:val="007245C1"/>
    <w:rsid w:val="00725837"/>
    <w:rsid w:val="00725C69"/>
    <w:rsid w:val="00726AEB"/>
    <w:rsid w:val="00733AD0"/>
    <w:rsid w:val="00734E62"/>
    <w:rsid w:val="00735EB8"/>
    <w:rsid w:val="00736772"/>
    <w:rsid w:val="00736E6C"/>
    <w:rsid w:val="00737637"/>
    <w:rsid w:val="00743CC1"/>
    <w:rsid w:val="00743EEB"/>
    <w:rsid w:val="007479CC"/>
    <w:rsid w:val="00750C5D"/>
    <w:rsid w:val="00754C00"/>
    <w:rsid w:val="00757BBB"/>
    <w:rsid w:val="007603B8"/>
    <w:rsid w:val="00761E51"/>
    <w:rsid w:val="0076301B"/>
    <w:rsid w:val="007664EB"/>
    <w:rsid w:val="00766D1A"/>
    <w:rsid w:val="00770EB9"/>
    <w:rsid w:val="00771839"/>
    <w:rsid w:val="00772680"/>
    <w:rsid w:val="00772ECB"/>
    <w:rsid w:val="00774DDC"/>
    <w:rsid w:val="00775705"/>
    <w:rsid w:val="00775B8C"/>
    <w:rsid w:val="00780F85"/>
    <w:rsid w:val="007811A9"/>
    <w:rsid w:val="00781F59"/>
    <w:rsid w:val="00782F2A"/>
    <w:rsid w:val="00787558"/>
    <w:rsid w:val="00792696"/>
    <w:rsid w:val="00794FB7"/>
    <w:rsid w:val="00796B5C"/>
    <w:rsid w:val="00796F7D"/>
    <w:rsid w:val="00797EAE"/>
    <w:rsid w:val="007A0537"/>
    <w:rsid w:val="007B33F5"/>
    <w:rsid w:val="007B41E9"/>
    <w:rsid w:val="007B4575"/>
    <w:rsid w:val="007B5505"/>
    <w:rsid w:val="007C0ABA"/>
    <w:rsid w:val="007C3E9F"/>
    <w:rsid w:val="007C6E5D"/>
    <w:rsid w:val="007C71AB"/>
    <w:rsid w:val="007C73AB"/>
    <w:rsid w:val="007D4779"/>
    <w:rsid w:val="007D4EAB"/>
    <w:rsid w:val="007D5429"/>
    <w:rsid w:val="007D67DB"/>
    <w:rsid w:val="007D7353"/>
    <w:rsid w:val="007E1B1D"/>
    <w:rsid w:val="007E2E80"/>
    <w:rsid w:val="007E559F"/>
    <w:rsid w:val="007E74E8"/>
    <w:rsid w:val="007F03C4"/>
    <w:rsid w:val="007F4BFB"/>
    <w:rsid w:val="007F5392"/>
    <w:rsid w:val="007F6180"/>
    <w:rsid w:val="007F73E1"/>
    <w:rsid w:val="0080010D"/>
    <w:rsid w:val="00803CAE"/>
    <w:rsid w:val="00811266"/>
    <w:rsid w:val="008126D9"/>
    <w:rsid w:val="00812D81"/>
    <w:rsid w:val="00814559"/>
    <w:rsid w:val="00815861"/>
    <w:rsid w:val="00826B75"/>
    <w:rsid w:val="00831EDD"/>
    <w:rsid w:val="008323AC"/>
    <w:rsid w:val="00834AB3"/>
    <w:rsid w:val="00834FDA"/>
    <w:rsid w:val="00835BAB"/>
    <w:rsid w:val="00836E12"/>
    <w:rsid w:val="00836FBB"/>
    <w:rsid w:val="0084138F"/>
    <w:rsid w:val="00844E23"/>
    <w:rsid w:val="00851568"/>
    <w:rsid w:val="00851C51"/>
    <w:rsid w:val="0085623C"/>
    <w:rsid w:val="00864A10"/>
    <w:rsid w:val="0086587C"/>
    <w:rsid w:val="008700FA"/>
    <w:rsid w:val="00870685"/>
    <w:rsid w:val="008707A7"/>
    <w:rsid w:val="00872013"/>
    <w:rsid w:val="00872B5C"/>
    <w:rsid w:val="0087377D"/>
    <w:rsid w:val="00874287"/>
    <w:rsid w:val="008806B1"/>
    <w:rsid w:val="00881E29"/>
    <w:rsid w:val="008825A5"/>
    <w:rsid w:val="008917D5"/>
    <w:rsid w:val="00892329"/>
    <w:rsid w:val="008957C8"/>
    <w:rsid w:val="008A1353"/>
    <w:rsid w:val="008A2CEE"/>
    <w:rsid w:val="008A36EB"/>
    <w:rsid w:val="008A4611"/>
    <w:rsid w:val="008A5B4B"/>
    <w:rsid w:val="008A6AC8"/>
    <w:rsid w:val="008B3756"/>
    <w:rsid w:val="008B5232"/>
    <w:rsid w:val="008B5CB9"/>
    <w:rsid w:val="008B6A09"/>
    <w:rsid w:val="008B6EAE"/>
    <w:rsid w:val="008B75F2"/>
    <w:rsid w:val="008C1458"/>
    <w:rsid w:val="008C4CB4"/>
    <w:rsid w:val="008C60EA"/>
    <w:rsid w:val="008C6A7F"/>
    <w:rsid w:val="008D2F83"/>
    <w:rsid w:val="008E0DFD"/>
    <w:rsid w:val="008E56C0"/>
    <w:rsid w:val="008F00B0"/>
    <w:rsid w:val="008F2032"/>
    <w:rsid w:val="008F7B78"/>
    <w:rsid w:val="00902815"/>
    <w:rsid w:val="0090443D"/>
    <w:rsid w:val="009068C4"/>
    <w:rsid w:val="00906A29"/>
    <w:rsid w:val="00906FC3"/>
    <w:rsid w:val="00913AA4"/>
    <w:rsid w:val="009203FA"/>
    <w:rsid w:val="00921D7B"/>
    <w:rsid w:val="0092245B"/>
    <w:rsid w:val="00922D75"/>
    <w:rsid w:val="00923AE8"/>
    <w:rsid w:val="009255F7"/>
    <w:rsid w:val="00925751"/>
    <w:rsid w:val="00931824"/>
    <w:rsid w:val="0093270C"/>
    <w:rsid w:val="00934988"/>
    <w:rsid w:val="00935BDD"/>
    <w:rsid w:val="00936FE1"/>
    <w:rsid w:val="00937320"/>
    <w:rsid w:val="00942DC5"/>
    <w:rsid w:val="00943A5B"/>
    <w:rsid w:val="00944E97"/>
    <w:rsid w:val="00946179"/>
    <w:rsid w:val="009473D9"/>
    <w:rsid w:val="00947DBA"/>
    <w:rsid w:val="0095067B"/>
    <w:rsid w:val="00956699"/>
    <w:rsid w:val="00956FFB"/>
    <w:rsid w:val="009576F4"/>
    <w:rsid w:val="009621E7"/>
    <w:rsid w:val="009653CE"/>
    <w:rsid w:val="00970855"/>
    <w:rsid w:val="0097146B"/>
    <w:rsid w:val="00972151"/>
    <w:rsid w:val="00972172"/>
    <w:rsid w:val="00973E8E"/>
    <w:rsid w:val="009754DF"/>
    <w:rsid w:val="00975CAC"/>
    <w:rsid w:val="00977249"/>
    <w:rsid w:val="00980914"/>
    <w:rsid w:val="00983E58"/>
    <w:rsid w:val="009906AA"/>
    <w:rsid w:val="00991F93"/>
    <w:rsid w:val="009934F8"/>
    <w:rsid w:val="0099355B"/>
    <w:rsid w:val="0099361E"/>
    <w:rsid w:val="00997422"/>
    <w:rsid w:val="009A0807"/>
    <w:rsid w:val="009A0A26"/>
    <w:rsid w:val="009A0D8D"/>
    <w:rsid w:val="009A47C9"/>
    <w:rsid w:val="009A6079"/>
    <w:rsid w:val="009A70A5"/>
    <w:rsid w:val="009A776F"/>
    <w:rsid w:val="009A7C7F"/>
    <w:rsid w:val="009B2020"/>
    <w:rsid w:val="009B34D7"/>
    <w:rsid w:val="009B4E36"/>
    <w:rsid w:val="009B5BF1"/>
    <w:rsid w:val="009B78C1"/>
    <w:rsid w:val="009C6608"/>
    <w:rsid w:val="009C680F"/>
    <w:rsid w:val="009C720B"/>
    <w:rsid w:val="009D41CB"/>
    <w:rsid w:val="009D4D83"/>
    <w:rsid w:val="009D5813"/>
    <w:rsid w:val="009D6026"/>
    <w:rsid w:val="009E03DC"/>
    <w:rsid w:val="009E0BA4"/>
    <w:rsid w:val="009E4E34"/>
    <w:rsid w:val="009E618E"/>
    <w:rsid w:val="009E7213"/>
    <w:rsid w:val="009E7255"/>
    <w:rsid w:val="009E7CB8"/>
    <w:rsid w:val="009F068D"/>
    <w:rsid w:val="009F1175"/>
    <w:rsid w:val="009F44C4"/>
    <w:rsid w:val="009F4ED4"/>
    <w:rsid w:val="009F5281"/>
    <w:rsid w:val="009F5853"/>
    <w:rsid w:val="009F79EF"/>
    <w:rsid w:val="009F7D43"/>
    <w:rsid w:val="00A0122A"/>
    <w:rsid w:val="00A034C1"/>
    <w:rsid w:val="00A04537"/>
    <w:rsid w:val="00A109BD"/>
    <w:rsid w:val="00A1663C"/>
    <w:rsid w:val="00A23A65"/>
    <w:rsid w:val="00A241A8"/>
    <w:rsid w:val="00A245D6"/>
    <w:rsid w:val="00A24E71"/>
    <w:rsid w:val="00A26EA2"/>
    <w:rsid w:val="00A27348"/>
    <w:rsid w:val="00A27489"/>
    <w:rsid w:val="00A346F8"/>
    <w:rsid w:val="00A34DCF"/>
    <w:rsid w:val="00A35E80"/>
    <w:rsid w:val="00A4175E"/>
    <w:rsid w:val="00A44B90"/>
    <w:rsid w:val="00A46A1C"/>
    <w:rsid w:val="00A475D8"/>
    <w:rsid w:val="00A5519C"/>
    <w:rsid w:val="00A553B8"/>
    <w:rsid w:val="00A55C39"/>
    <w:rsid w:val="00A56712"/>
    <w:rsid w:val="00A60D9B"/>
    <w:rsid w:val="00A630D7"/>
    <w:rsid w:val="00A65C0A"/>
    <w:rsid w:val="00A6677B"/>
    <w:rsid w:val="00A710D2"/>
    <w:rsid w:val="00A737EA"/>
    <w:rsid w:val="00A74940"/>
    <w:rsid w:val="00A77EB8"/>
    <w:rsid w:val="00A817D1"/>
    <w:rsid w:val="00A82835"/>
    <w:rsid w:val="00A84E63"/>
    <w:rsid w:val="00A84FAD"/>
    <w:rsid w:val="00A85B14"/>
    <w:rsid w:val="00A876E5"/>
    <w:rsid w:val="00A908C8"/>
    <w:rsid w:val="00A9261B"/>
    <w:rsid w:val="00A92F18"/>
    <w:rsid w:val="00A9543C"/>
    <w:rsid w:val="00AA1430"/>
    <w:rsid w:val="00AA1995"/>
    <w:rsid w:val="00AA1A23"/>
    <w:rsid w:val="00AA2804"/>
    <w:rsid w:val="00AA2AAE"/>
    <w:rsid w:val="00AA6720"/>
    <w:rsid w:val="00AB0722"/>
    <w:rsid w:val="00AB091E"/>
    <w:rsid w:val="00AB4B4F"/>
    <w:rsid w:val="00AB52D8"/>
    <w:rsid w:val="00AB6A04"/>
    <w:rsid w:val="00AB7CE8"/>
    <w:rsid w:val="00AB7F53"/>
    <w:rsid w:val="00AC00EC"/>
    <w:rsid w:val="00AC0EAB"/>
    <w:rsid w:val="00AC3B6A"/>
    <w:rsid w:val="00AC409A"/>
    <w:rsid w:val="00AD0689"/>
    <w:rsid w:val="00AD2093"/>
    <w:rsid w:val="00AD212A"/>
    <w:rsid w:val="00AD5EC9"/>
    <w:rsid w:val="00AE5AA9"/>
    <w:rsid w:val="00AE5F7D"/>
    <w:rsid w:val="00AF631D"/>
    <w:rsid w:val="00AF6DD6"/>
    <w:rsid w:val="00B12625"/>
    <w:rsid w:val="00B12F95"/>
    <w:rsid w:val="00B132F7"/>
    <w:rsid w:val="00B13D44"/>
    <w:rsid w:val="00B16528"/>
    <w:rsid w:val="00B16D6C"/>
    <w:rsid w:val="00B17723"/>
    <w:rsid w:val="00B17F05"/>
    <w:rsid w:val="00B250CE"/>
    <w:rsid w:val="00B25150"/>
    <w:rsid w:val="00B25D3B"/>
    <w:rsid w:val="00B2632D"/>
    <w:rsid w:val="00B2667B"/>
    <w:rsid w:val="00B301EC"/>
    <w:rsid w:val="00B30544"/>
    <w:rsid w:val="00B3101B"/>
    <w:rsid w:val="00B36942"/>
    <w:rsid w:val="00B36AEB"/>
    <w:rsid w:val="00B4100E"/>
    <w:rsid w:val="00B50356"/>
    <w:rsid w:val="00B5114C"/>
    <w:rsid w:val="00B5331D"/>
    <w:rsid w:val="00B574FA"/>
    <w:rsid w:val="00B576C3"/>
    <w:rsid w:val="00B61B7D"/>
    <w:rsid w:val="00B64176"/>
    <w:rsid w:val="00B676AE"/>
    <w:rsid w:val="00B67A1F"/>
    <w:rsid w:val="00B71276"/>
    <w:rsid w:val="00B71B47"/>
    <w:rsid w:val="00B72768"/>
    <w:rsid w:val="00B7437C"/>
    <w:rsid w:val="00B80A24"/>
    <w:rsid w:val="00B80A80"/>
    <w:rsid w:val="00B83748"/>
    <w:rsid w:val="00B86211"/>
    <w:rsid w:val="00B91787"/>
    <w:rsid w:val="00B924E1"/>
    <w:rsid w:val="00B939BB"/>
    <w:rsid w:val="00B9419F"/>
    <w:rsid w:val="00B97D8A"/>
    <w:rsid w:val="00BA04C3"/>
    <w:rsid w:val="00BA4303"/>
    <w:rsid w:val="00BA62E9"/>
    <w:rsid w:val="00BB0CCF"/>
    <w:rsid w:val="00BB271F"/>
    <w:rsid w:val="00BB3462"/>
    <w:rsid w:val="00BB719A"/>
    <w:rsid w:val="00BC0EC4"/>
    <w:rsid w:val="00BC57A7"/>
    <w:rsid w:val="00BC7C20"/>
    <w:rsid w:val="00BD1DF2"/>
    <w:rsid w:val="00BD2B1A"/>
    <w:rsid w:val="00BD30C5"/>
    <w:rsid w:val="00BE1DAA"/>
    <w:rsid w:val="00BE4051"/>
    <w:rsid w:val="00BE4BCA"/>
    <w:rsid w:val="00BE5951"/>
    <w:rsid w:val="00BE7661"/>
    <w:rsid w:val="00BF06AE"/>
    <w:rsid w:val="00BF1C1D"/>
    <w:rsid w:val="00BF28C1"/>
    <w:rsid w:val="00BF3294"/>
    <w:rsid w:val="00BF6946"/>
    <w:rsid w:val="00BF6DC0"/>
    <w:rsid w:val="00C01A90"/>
    <w:rsid w:val="00C037D9"/>
    <w:rsid w:val="00C0397D"/>
    <w:rsid w:val="00C03F08"/>
    <w:rsid w:val="00C048FD"/>
    <w:rsid w:val="00C077BD"/>
    <w:rsid w:val="00C12D51"/>
    <w:rsid w:val="00C14D8A"/>
    <w:rsid w:val="00C1641A"/>
    <w:rsid w:val="00C171F7"/>
    <w:rsid w:val="00C24006"/>
    <w:rsid w:val="00C24B9A"/>
    <w:rsid w:val="00C277EF"/>
    <w:rsid w:val="00C27B74"/>
    <w:rsid w:val="00C3004C"/>
    <w:rsid w:val="00C32928"/>
    <w:rsid w:val="00C34A5D"/>
    <w:rsid w:val="00C351DF"/>
    <w:rsid w:val="00C373C5"/>
    <w:rsid w:val="00C37947"/>
    <w:rsid w:val="00C41E41"/>
    <w:rsid w:val="00C42792"/>
    <w:rsid w:val="00C42B75"/>
    <w:rsid w:val="00C477CD"/>
    <w:rsid w:val="00C53717"/>
    <w:rsid w:val="00C554B7"/>
    <w:rsid w:val="00C55CD0"/>
    <w:rsid w:val="00C55D08"/>
    <w:rsid w:val="00C60904"/>
    <w:rsid w:val="00C62F09"/>
    <w:rsid w:val="00C64990"/>
    <w:rsid w:val="00C67D79"/>
    <w:rsid w:val="00C70A2D"/>
    <w:rsid w:val="00C7391C"/>
    <w:rsid w:val="00C73D2A"/>
    <w:rsid w:val="00C749A0"/>
    <w:rsid w:val="00C84B68"/>
    <w:rsid w:val="00C9010E"/>
    <w:rsid w:val="00C936AC"/>
    <w:rsid w:val="00C94543"/>
    <w:rsid w:val="00C94C72"/>
    <w:rsid w:val="00C97A8D"/>
    <w:rsid w:val="00CA030C"/>
    <w:rsid w:val="00CA0F11"/>
    <w:rsid w:val="00CB13B9"/>
    <w:rsid w:val="00CB4FE5"/>
    <w:rsid w:val="00CB5F2D"/>
    <w:rsid w:val="00CC14B5"/>
    <w:rsid w:val="00CC3E08"/>
    <w:rsid w:val="00CC6DB6"/>
    <w:rsid w:val="00CD405D"/>
    <w:rsid w:val="00CD7C31"/>
    <w:rsid w:val="00CE1F94"/>
    <w:rsid w:val="00CE4E13"/>
    <w:rsid w:val="00CE6AB9"/>
    <w:rsid w:val="00CF44C8"/>
    <w:rsid w:val="00CF487A"/>
    <w:rsid w:val="00CF5132"/>
    <w:rsid w:val="00D02A25"/>
    <w:rsid w:val="00D06826"/>
    <w:rsid w:val="00D10893"/>
    <w:rsid w:val="00D12AB1"/>
    <w:rsid w:val="00D14A52"/>
    <w:rsid w:val="00D150D8"/>
    <w:rsid w:val="00D22239"/>
    <w:rsid w:val="00D23E64"/>
    <w:rsid w:val="00D242B2"/>
    <w:rsid w:val="00D253C5"/>
    <w:rsid w:val="00D25F9C"/>
    <w:rsid w:val="00D27D03"/>
    <w:rsid w:val="00D304D6"/>
    <w:rsid w:val="00D3081F"/>
    <w:rsid w:val="00D30DA8"/>
    <w:rsid w:val="00D338CD"/>
    <w:rsid w:val="00D34F79"/>
    <w:rsid w:val="00D35E5F"/>
    <w:rsid w:val="00D3724B"/>
    <w:rsid w:val="00D41016"/>
    <w:rsid w:val="00D41024"/>
    <w:rsid w:val="00D410F0"/>
    <w:rsid w:val="00D446BF"/>
    <w:rsid w:val="00D47EBD"/>
    <w:rsid w:val="00D536FC"/>
    <w:rsid w:val="00D53C2F"/>
    <w:rsid w:val="00D53C5C"/>
    <w:rsid w:val="00D555B4"/>
    <w:rsid w:val="00D57CB5"/>
    <w:rsid w:val="00D70DA9"/>
    <w:rsid w:val="00D74C37"/>
    <w:rsid w:val="00D75406"/>
    <w:rsid w:val="00D82AAF"/>
    <w:rsid w:val="00D8338C"/>
    <w:rsid w:val="00D84389"/>
    <w:rsid w:val="00D85A64"/>
    <w:rsid w:val="00D90310"/>
    <w:rsid w:val="00D915BB"/>
    <w:rsid w:val="00D91D59"/>
    <w:rsid w:val="00D92FD7"/>
    <w:rsid w:val="00DA5EBE"/>
    <w:rsid w:val="00DB1702"/>
    <w:rsid w:val="00DB3BE2"/>
    <w:rsid w:val="00DB3D1A"/>
    <w:rsid w:val="00DC15E9"/>
    <w:rsid w:val="00DC4220"/>
    <w:rsid w:val="00DD21FF"/>
    <w:rsid w:val="00DD2927"/>
    <w:rsid w:val="00DD3AD6"/>
    <w:rsid w:val="00DD45C6"/>
    <w:rsid w:val="00DE5A86"/>
    <w:rsid w:val="00DE6D51"/>
    <w:rsid w:val="00DF25FB"/>
    <w:rsid w:val="00DF654B"/>
    <w:rsid w:val="00E01D21"/>
    <w:rsid w:val="00E025CB"/>
    <w:rsid w:val="00E04078"/>
    <w:rsid w:val="00E1221E"/>
    <w:rsid w:val="00E12AAB"/>
    <w:rsid w:val="00E13002"/>
    <w:rsid w:val="00E13E56"/>
    <w:rsid w:val="00E20165"/>
    <w:rsid w:val="00E22C0B"/>
    <w:rsid w:val="00E24556"/>
    <w:rsid w:val="00E24AE5"/>
    <w:rsid w:val="00E24E3E"/>
    <w:rsid w:val="00E2520E"/>
    <w:rsid w:val="00E26967"/>
    <w:rsid w:val="00E2758B"/>
    <w:rsid w:val="00E331E5"/>
    <w:rsid w:val="00E33C44"/>
    <w:rsid w:val="00E40B76"/>
    <w:rsid w:val="00E40D8F"/>
    <w:rsid w:val="00E4260E"/>
    <w:rsid w:val="00E43EAE"/>
    <w:rsid w:val="00E441A9"/>
    <w:rsid w:val="00E453A2"/>
    <w:rsid w:val="00E455AC"/>
    <w:rsid w:val="00E55C5C"/>
    <w:rsid w:val="00E618D9"/>
    <w:rsid w:val="00E62412"/>
    <w:rsid w:val="00E712DE"/>
    <w:rsid w:val="00E7578B"/>
    <w:rsid w:val="00E772BE"/>
    <w:rsid w:val="00E774B3"/>
    <w:rsid w:val="00E81E0C"/>
    <w:rsid w:val="00E85529"/>
    <w:rsid w:val="00E90328"/>
    <w:rsid w:val="00E93EB9"/>
    <w:rsid w:val="00E946A0"/>
    <w:rsid w:val="00E95B31"/>
    <w:rsid w:val="00E96714"/>
    <w:rsid w:val="00EA1D1D"/>
    <w:rsid w:val="00EA448E"/>
    <w:rsid w:val="00EA518E"/>
    <w:rsid w:val="00EA55C6"/>
    <w:rsid w:val="00EA7CBF"/>
    <w:rsid w:val="00EA7CCC"/>
    <w:rsid w:val="00EB0A7B"/>
    <w:rsid w:val="00EB0D0A"/>
    <w:rsid w:val="00EB0D75"/>
    <w:rsid w:val="00EB0EF4"/>
    <w:rsid w:val="00EB16A0"/>
    <w:rsid w:val="00EB2C1A"/>
    <w:rsid w:val="00EB52C4"/>
    <w:rsid w:val="00EB5B9D"/>
    <w:rsid w:val="00EC5839"/>
    <w:rsid w:val="00EC5EF7"/>
    <w:rsid w:val="00EC73B7"/>
    <w:rsid w:val="00EC7481"/>
    <w:rsid w:val="00EC7A37"/>
    <w:rsid w:val="00ED031D"/>
    <w:rsid w:val="00ED2280"/>
    <w:rsid w:val="00ED4FE7"/>
    <w:rsid w:val="00ED5BAC"/>
    <w:rsid w:val="00ED77E6"/>
    <w:rsid w:val="00EE2407"/>
    <w:rsid w:val="00EE63DF"/>
    <w:rsid w:val="00EF20E8"/>
    <w:rsid w:val="00EF3BAE"/>
    <w:rsid w:val="00EF4083"/>
    <w:rsid w:val="00EF4F93"/>
    <w:rsid w:val="00EF55B7"/>
    <w:rsid w:val="00EF5808"/>
    <w:rsid w:val="00EF5844"/>
    <w:rsid w:val="00EF625C"/>
    <w:rsid w:val="00EF62D0"/>
    <w:rsid w:val="00F0128A"/>
    <w:rsid w:val="00F04099"/>
    <w:rsid w:val="00F0690E"/>
    <w:rsid w:val="00F10E52"/>
    <w:rsid w:val="00F11630"/>
    <w:rsid w:val="00F138DE"/>
    <w:rsid w:val="00F13CB8"/>
    <w:rsid w:val="00F16E76"/>
    <w:rsid w:val="00F1745D"/>
    <w:rsid w:val="00F1794A"/>
    <w:rsid w:val="00F21599"/>
    <w:rsid w:val="00F21E77"/>
    <w:rsid w:val="00F239E4"/>
    <w:rsid w:val="00F316DC"/>
    <w:rsid w:val="00F32F62"/>
    <w:rsid w:val="00F35675"/>
    <w:rsid w:val="00F40D77"/>
    <w:rsid w:val="00F41121"/>
    <w:rsid w:val="00F42BB1"/>
    <w:rsid w:val="00F45055"/>
    <w:rsid w:val="00F46210"/>
    <w:rsid w:val="00F55BB9"/>
    <w:rsid w:val="00F6020C"/>
    <w:rsid w:val="00F60D1E"/>
    <w:rsid w:val="00F61CC7"/>
    <w:rsid w:val="00F61F90"/>
    <w:rsid w:val="00F6256F"/>
    <w:rsid w:val="00F63432"/>
    <w:rsid w:val="00F656C4"/>
    <w:rsid w:val="00F7137F"/>
    <w:rsid w:val="00F73897"/>
    <w:rsid w:val="00F75611"/>
    <w:rsid w:val="00F75EC4"/>
    <w:rsid w:val="00F76B1F"/>
    <w:rsid w:val="00F811F5"/>
    <w:rsid w:val="00F84246"/>
    <w:rsid w:val="00F867B8"/>
    <w:rsid w:val="00F91FB1"/>
    <w:rsid w:val="00F92C58"/>
    <w:rsid w:val="00F93A20"/>
    <w:rsid w:val="00F93CA0"/>
    <w:rsid w:val="00F940BD"/>
    <w:rsid w:val="00F95144"/>
    <w:rsid w:val="00F956D7"/>
    <w:rsid w:val="00F97736"/>
    <w:rsid w:val="00FA03E4"/>
    <w:rsid w:val="00FA0F2E"/>
    <w:rsid w:val="00FA527E"/>
    <w:rsid w:val="00FA5AA9"/>
    <w:rsid w:val="00FA7CC4"/>
    <w:rsid w:val="00FB353A"/>
    <w:rsid w:val="00FB3873"/>
    <w:rsid w:val="00FB3A3E"/>
    <w:rsid w:val="00FB54D2"/>
    <w:rsid w:val="00FB5DE5"/>
    <w:rsid w:val="00FB6B5A"/>
    <w:rsid w:val="00FC1870"/>
    <w:rsid w:val="00FC5F5A"/>
    <w:rsid w:val="00FD1DA1"/>
    <w:rsid w:val="00FD1EE0"/>
    <w:rsid w:val="00FD2B8E"/>
    <w:rsid w:val="00FD486C"/>
    <w:rsid w:val="00FD58B9"/>
    <w:rsid w:val="00FD6D89"/>
    <w:rsid w:val="00FE03F6"/>
    <w:rsid w:val="00FE153F"/>
    <w:rsid w:val="00FE2719"/>
    <w:rsid w:val="00FE2B4F"/>
    <w:rsid w:val="00FE3240"/>
    <w:rsid w:val="00FE33C9"/>
    <w:rsid w:val="00FE7163"/>
    <w:rsid w:val="00FF22D9"/>
    <w:rsid w:val="00FF4070"/>
    <w:rsid w:val="00FF45B4"/>
    <w:rsid w:val="00FF643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E8"/>
    <w:rPr>
      <w:rFonts w:ascii="Times New Roman" w:eastAsia="Times New Roman" w:hAnsi="Times New Roman"/>
      <w:sz w:val="24"/>
      <w:szCs w:val="24"/>
    </w:rPr>
  </w:style>
  <w:style w:type="paragraph" w:styleId="Ttulo1">
    <w:name w:val="heading 1"/>
    <w:basedOn w:val="Normal"/>
    <w:next w:val="Normal"/>
    <w:link w:val="Ttulo1Char"/>
    <w:uiPriority w:val="99"/>
    <w:qFormat/>
    <w:locked/>
    <w:rsid w:val="009F4ED4"/>
    <w:pPr>
      <w:keepNext/>
      <w:keepLines/>
      <w:spacing w:before="480"/>
      <w:outlineLvl w:val="0"/>
    </w:pPr>
    <w:rPr>
      <w:rFonts w:ascii="Cambria" w:eastAsia="Calibri" w:hAnsi="Cambria" w:cs="Cambria"/>
      <w:b/>
      <w:bCs/>
      <w:color w:val="365F91"/>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9F4ED4"/>
    <w:rPr>
      <w:rFonts w:ascii="Cambria" w:hAnsi="Cambria" w:cs="Cambria"/>
      <w:b/>
      <w:bCs/>
      <w:color w:val="365F91"/>
      <w:sz w:val="28"/>
      <w:szCs w:val="28"/>
    </w:rPr>
  </w:style>
  <w:style w:type="paragraph" w:styleId="Textodenotaderodap">
    <w:name w:val="footnote text"/>
    <w:basedOn w:val="Normal"/>
    <w:link w:val="TextodenotaderodapChar"/>
    <w:uiPriority w:val="99"/>
    <w:semiHidden/>
    <w:rsid w:val="00DF654B"/>
    <w:pPr>
      <w:suppressAutoHyphens/>
    </w:pPr>
    <w:rPr>
      <w:rFonts w:eastAsia="Calibri"/>
      <w:sz w:val="20"/>
      <w:szCs w:val="20"/>
      <w:lang w:eastAsia="ar-SA"/>
    </w:rPr>
  </w:style>
  <w:style w:type="character" w:customStyle="1" w:styleId="TextodenotaderodapChar">
    <w:name w:val="Texto de nota de rodapé Char"/>
    <w:basedOn w:val="Fontepargpadro"/>
    <w:link w:val="Textodenotaderodap"/>
    <w:uiPriority w:val="99"/>
    <w:semiHidden/>
    <w:locked/>
    <w:rsid w:val="00DF654B"/>
    <w:rPr>
      <w:rFonts w:ascii="Times New Roman" w:hAnsi="Times New Roman" w:cs="Times New Roman"/>
      <w:sz w:val="20"/>
      <w:szCs w:val="20"/>
      <w:lang w:eastAsia="ar-SA" w:bidi="ar-SA"/>
    </w:rPr>
  </w:style>
  <w:style w:type="character" w:styleId="Refdenotaderodap">
    <w:name w:val="footnote reference"/>
    <w:basedOn w:val="Fontepargpadro"/>
    <w:uiPriority w:val="99"/>
    <w:semiHidden/>
    <w:rsid w:val="00DF654B"/>
    <w:rPr>
      <w:vertAlign w:val="superscript"/>
    </w:rPr>
  </w:style>
  <w:style w:type="character" w:styleId="Hyperlink">
    <w:name w:val="Hyperlink"/>
    <w:basedOn w:val="Fontepargpadro"/>
    <w:uiPriority w:val="99"/>
    <w:rsid w:val="00DF654B"/>
    <w:rPr>
      <w:color w:val="auto"/>
      <w:u w:val="none"/>
      <w:effect w:val="none"/>
    </w:rPr>
  </w:style>
  <w:style w:type="paragraph" w:styleId="SemEspaamento">
    <w:name w:val="No Spacing"/>
    <w:link w:val="SemEspaamentoChar1"/>
    <w:uiPriority w:val="99"/>
    <w:qFormat/>
    <w:rsid w:val="00017159"/>
    <w:rPr>
      <w:sz w:val="22"/>
      <w:szCs w:val="22"/>
      <w:lang w:eastAsia="en-US"/>
    </w:rPr>
  </w:style>
  <w:style w:type="character" w:customStyle="1" w:styleId="hps">
    <w:name w:val="hps"/>
    <w:uiPriority w:val="99"/>
    <w:rsid w:val="00A710D2"/>
  </w:style>
  <w:style w:type="paragraph" w:styleId="Rodap">
    <w:name w:val="footer"/>
    <w:basedOn w:val="Normal"/>
    <w:link w:val="RodapChar"/>
    <w:uiPriority w:val="99"/>
    <w:rsid w:val="00A553B8"/>
    <w:pPr>
      <w:tabs>
        <w:tab w:val="center" w:pos="4252"/>
        <w:tab w:val="right" w:pos="8504"/>
      </w:tabs>
    </w:pPr>
    <w:rPr>
      <w:rFonts w:eastAsia="Calibri"/>
    </w:rPr>
  </w:style>
  <w:style w:type="character" w:customStyle="1" w:styleId="RodapChar">
    <w:name w:val="Rodapé Char"/>
    <w:basedOn w:val="Fontepargpadro"/>
    <w:link w:val="Rodap"/>
    <w:uiPriority w:val="99"/>
    <w:semiHidden/>
    <w:locked/>
    <w:rsid w:val="00540C39"/>
    <w:rPr>
      <w:rFonts w:ascii="Times New Roman" w:hAnsi="Times New Roman" w:cs="Times New Roman"/>
      <w:sz w:val="24"/>
      <w:szCs w:val="24"/>
    </w:rPr>
  </w:style>
  <w:style w:type="character" w:styleId="Nmerodepgina">
    <w:name w:val="page number"/>
    <w:basedOn w:val="Fontepargpadro"/>
    <w:uiPriority w:val="99"/>
    <w:rsid w:val="00A553B8"/>
  </w:style>
  <w:style w:type="character" w:styleId="nfase">
    <w:name w:val="Emphasis"/>
    <w:basedOn w:val="Fontepargpadro"/>
    <w:uiPriority w:val="99"/>
    <w:qFormat/>
    <w:locked/>
    <w:rsid w:val="00374A19"/>
    <w:rPr>
      <w:b/>
      <w:bCs/>
    </w:rPr>
  </w:style>
  <w:style w:type="paragraph" w:customStyle="1" w:styleId="Default">
    <w:name w:val="Default"/>
    <w:basedOn w:val="Normal"/>
    <w:uiPriority w:val="99"/>
    <w:rsid w:val="00B576C3"/>
    <w:pPr>
      <w:widowControl w:val="0"/>
      <w:suppressAutoHyphens/>
      <w:autoSpaceDE w:val="0"/>
    </w:pPr>
    <w:rPr>
      <w:rFonts w:ascii="Arial" w:hAnsi="Arial" w:cs="Arial"/>
      <w:color w:val="000000"/>
      <w:lang w:eastAsia="en-US"/>
    </w:rPr>
  </w:style>
  <w:style w:type="paragraph" w:customStyle="1" w:styleId="SemEspaamento1">
    <w:name w:val="Sem Espaçamento1"/>
    <w:link w:val="SemEspaamentoChar"/>
    <w:uiPriority w:val="99"/>
    <w:rsid w:val="00774DDC"/>
    <w:rPr>
      <w:rFonts w:eastAsia="Times New Roman"/>
      <w:sz w:val="22"/>
      <w:szCs w:val="22"/>
      <w:lang w:eastAsia="en-US"/>
    </w:rPr>
  </w:style>
  <w:style w:type="character" w:customStyle="1" w:styleId="SemEspaamentoChar">
    <w:name w:val="Sem Espaçamento Char"/>
    <w:link w:val="SemEspaamento1"/>
    <w:uiPriority w:val="99"/>
    <w:locked/>
    <w:rsid w:val="00774DDC"/>
    <w:rPr>
      <w:rFonts w:eastAsia="Times New Roman"/>
      <w:sz w:val="22"/>
      <w:szCs w:val="22"/>
      <w:lang w:val="pt-BR" w:eastAsia="en-US" w:bidi="ar-SA"/>
    </w:rPr>
  </w:style>
  <w:style w:type="paragraph" w:styleId="NormalWeb">
    <w:name w:val="Normal (Web)"/>
    <w:basedOn w:val="Normal"/>
    <w:uiPriority w:val="99"/>
    <w:rsid w:val="00774DDC"/>
    <w:pPr>
      <w:spacing w:before="100" w:beforeAutospacing="1" w:after="100" w:afterAutospacing="1"/>
    </w:pPr>
    <w:rPr>
      <w:rFonts w:eastAsia="Calibri"/>
      <w:sz w:val="23"/>
      <w:szCs w:val="23"/>
    </w:rPr>
  </w:style>
  <w:style w:type="character" w:customStyle="1" w:styleId="mediumtext1">
    <w:name w:val="medium_text1"/>
    <w:uiPriority w:val="99"/>
    <w:rsid w:val="00874287"/>
    <w:rPr>
      <w:sz w:val="18"/>
      <w:szCs w:val="18"/>
    </w:rPr>
  </w:style>
  <w:style w:type="paragraph" w:customStyle="1" w:styleId="SemEspaamento11">
    <w:name w:val="Sem Espaçamento11"/>
    <w:uiPriority w:val="99"/>
    <w:rsid w:val="00706E43"/>
    <w:rPr>
      <w:rFonts w:cs="Calibri"/>
      <w:sz w:val="22"/>
      <w:szCs w:val="22"/>
      <w:lang w:eastAsia="en-US"/>
    </w:rPr>
  </w:style>
  <w:style w:type="character" w:customStyle="1" w:styleId="blockemailwithname2">
    <w:name w:val="blockemailwithname2"/>
    <w:rsid w:val="00C53717"/>
    <w:rPr>
      <w:color w:val="auto"/>
    </w:rPr>
  </w:style>
  <w:style w:type="character" w:customStyle="1" w:styleId="blockemailnoname2">
    <w:name w:val="blockemailnoname2"/>
    <w:rsid w:val="00C53717"/>
    <w:rPr>
      <w:color w:val="auto"/>
    </w:rPr>
  </w:style>
  <w:style w:type="character" w:customStyle="1" w:styleId="SemEspaamentoChar1">
    <w:name w:val="Sem Espaçamento Char1"/>
    <w:link w:val="SemEspaamento"/>
    <w:uiPriority w:val="99"/>
    <w:locked/>
    <w:rsid w:val="00DF25FB"/>
    <w:rPr>
      <w:sz w:val="22"/>
      <w:szCs w:val="22"/>
      <w:lang w:val="pt-BR" w:eastAsia="en-US" w:bidi="ar-SA"/>
    </w:rPr>
  </w:style>
  <w:style w:type="paragraph" w:customStyle="1" w:styleId="PargrafodaLista1">
    <w:name w:val="Parágrafo da Lista1"/>
    <w:basedOn w:val="Normal"/>
    <w:uiPriority w:val="99"/>
    <w:rsid w:val="00DF25FB"/>
    <w:pPr>
      <w:spacing w:after="200" w:line="276" w:lineRule="auto"/>
      <w:ind w:left="720"/>
    </w:pPr>
    <w:rPr>
      <w:rFonts w:ascii="Calibri" w:hAnsi="Calibri" w:cs="Calibri"/>
      <w:sz w:val="22"/>
      <w:szCs w:val="22"/>
      <w:lang w:eastAsia="en-US"/>
    </w:rPr>
  </w:style>
  <w:style w:type="paragraph" w:customStyle="1" w:styleId="ListParagraph1">
    <w:name w:val="List Paragraph1"/>
    <w:basedOn w:val="Normal"/>
    <w:uiPriority w:val="99"/>
    <w:rsid w:val="00DF25FB"/>
    <w:pPr>
      <w:spacing w:after="200" w:line="276" w:lineRule="auto"/>
      <w:ind w:left="720"/>
    </w:pPr>
    <w:rPr>
      <w:rFonts w:ascii="Calibri" w:eastAsia="Calibri" w:hAnsi="Calibri" w:cs="Calibri"/>
      <w:sz w:val="22"/>
      <w:szCs w:val="22"/>
    </w:rPr>
  </w:style>
  <w:style w:type="paragraph" w:customStyle="1" w:styleId="SemEspaamento2">
    <w:name w:val="Sem Espaçamento2"/>
    <w:uiPriority w:val="99"/>
    <w:rsid w:val="00FD1EE0"/>
    <w:rPr>
      <w:rFonts w:cs="Calibri"/>
      <w:sz w:val="22"/>
      <w:szCs w:val="22"/>
      <w:lang w:eastAsia="en-US"/>
    </w:rPr>
  </w:style>
  <w:style w:type="character" w:customStyle="1" w:styleId="longtext1">
    <w:name w:val="long_text1"/>
    <w:uiPriority w:val="99"/>
    <w:rsid w:val="00FD1EE0"/>
    <w:rPr>
      <w:sz w:val="15"/>
      <w:szCs w:val="15"/>
    </w:rPr>
  </w:style>
  <w:style w:type="character" w:customStyle="1" w:styleId="apple-converted-space">
    <w:name w:val="apple-converted-space"/>
    <w:uiPriority w:val="99"/>
    <w:rsid w:val="0035084B"/>
  </w:style>
  <w:style w:type="paragraph" w:customStyle="1" w:styleId="SemEspaamento6">
    <w:name w:val="Sem Espaçamento6"/>
    <w:uiPriority w:val="99"/>
    <w:rsid w:val="00FA03E4"/>
    <w:rPr>
      <w:rFonts w:cs="Calibri"/>
      <w:sz w:val="22"/>
      <w:szCs w:val="22"/>
      <w:lang w:eastAsia="en-US"/>
    </w:rPr>
  </w:style>
  <w:style w:type="character" w:customStyle="1" w:styleId="A8">
    <w:name w:val="A8"/>
    <w:uiPriority w:val="99"/>
    <w:rsid w:val="0012720A"/>
    <w:rPr>
      <w:color w:val="000000"/>
      <w:sz w:val="11"/>
      <w:szCs w:val="11"/>
    </w:rPr>
  </w:style>
  <w:style w:type="paragraph" w:customStyle="1" w:styleId="PargrafodaLista2">
    <w:name w:val="Parágrafo da Lista2"/>
    <w:basedOn w:val="Normal"/>
    <w:uiPriority w:val="99"/>
    <w:rsid w:val="0012720A"/>
    <w:pPr>
      <w:spacing w:after="200" w:line="276" w:lineRule="auto"/>
      <w:ind w:left="720"/>
    </w:pPr>
    <w:rPr>
      <w:rFonts w:ascii="Calibri" w:eastAsia="Calibri" w:hAnsi="Calibri" w:cs="Calibri"/>
      <w:sz w:val="22"/>
      <w:szCs w:val="22"/>
    </w:rPr>
  </w:style>
  <w:style w:type="character" w:styleId="Nmerodelinha">
    <w:name w:val="line number"/>
    <w:basedOn w:val="Fontepargpadro"/>
    <w:uiPriority w:val="99"/>
    <w:rsid w:val="008A36EB"/>
  </w:style>
  <w:style w:type="paragraph" w:styleId="Cabealho">
    <w:name w:val="header"/>
    <w:basedOn w:val="Normal"/>
    <w:link w:val="CabealhoChar"/>
    <w:uiPriority w:val="99"/>
    <w:semiHidden/>
    <w:rsid w:val="00C351DF"/>
    <w:pPr>
      <w:tabs>
        <w:tab w:val="center" w:pos="4252"/>
        <w:tab w:val="right" w:pos="8504"/>
      </w:tabs>
    </w:pPr>
    <w:rPr>
      <w:rFonts w:eastAsia="Calibri"/>
    </w:rPr>
  </w:style>
  <w:style w:type="character" w:customStyle="1" w:styleId="CabealhoChar">
    <w:name w:val="Cabeçalho Char"/>
    <w:basedOn w:val="Fontepargpadro"/>
    <w:link w:val="Cabealho"/>
    <w:uiPriority w:val="99"/>
    <w:semiHidden/>
    <w:locked/>
    <w:rsid w:val="00C351DF"/>
    <w:rPr>
      <w:rFonts w:ascii="Times New Roman" w:hAnsi="Times New Roman" w:cs="Times New Roman"/>
      <w:sz w:val="24"/>
      <w:szCs w:val="24"/>
    </w:rPr>
  </w:style>
  <w:style w:type="character" w:styleId="Forte">
    <w:name w:val="Strong"/>
    <w:basedOn w:val="Fontepargpadro"/>
    <w:uiPriority w:val="22"/>
    <w:qFormat/>
    <w:locked/>
    <w:rsid w:val="005D3ECC"/>
    <w:rPr>
      <w:b/>
      <w:bCs/>
    </w:rPr>
  </w:style>
  <w:style w:type="character" w:customStyle="1" w:styleId="NoSpacingChar1">
    <w:name w:val="No Spacing Char1"/>
    <w:basedOn w:val="Fontepargpadro"/>
    <w:uiPriority w:val="99"/>
    <w:locked/>
    <w:rsid w:val="002619B0"/>
    <w:rPr>
      <w:rFonts w:ascii="Calibri" w:hAnsi="Calibri" w:cs="Calibri"/>
      <w:sz w:val="22"/>
      <w:szCs w:val="22"/>
      <w:lang w:val="pt-BR" w:eastAsia="en-US"/>
    </w:rPr>
  </w:style>
  <w:style w:type="paragraph" w:customStyle="1" w:styleId="SemEspaamento3">
    <w:name w:val="Sem Espaçamento3"/>
    <w:uiPriority w:val="99"/>
    <w:rsid w:val="00E20165"/>
    <w:rPr>
      <w:rFonts w:eastAsia="Times New Roman" w:cs="Calibri"/>
      <w:sz w:val="22"/>
      <w:szCs w:val="22"/>
      <w:lang w:eastAsia="en-US"/>
    </w:rPr>
  </w:style>
  <w:style w:type="character" w:customStyle="1" w:styleId="atn">
    <w:name w:val="atn"/>
    <w:basedOn w:val="Fontepargpadro"/>
    <w:uiPriority w:val="99"/>
    <w:rsid w:val="00396F74"/>
  </w:style>
  <w:style w:type="paragraph" w:styleId="PargrafodaLista">
    <w:name w:val="List Paragraph"/>
    <w:basedOn w:val="Normal"/>
    <w:uiPriority w:val="99"/>
    <w:qFormat/>
    <w:rsid w:val="000B0F54"/>
    <w:pPr>
      <w:ind w:left="720"/>
    </w:pPr>
  </w:style>
  <w:style w:type="character" w:customStyle="1" w:styleId="hpsalt-edited">
    <w:name w:val="hps alt-edited"/>
    <w:basedOn w:val="Fontepargpadro"/>
    <w:uiPriority w:val="99"/>
    <w:rsid w:val="00AA1A23"/>
  </w:style>
  <w:style w:type="character" w:customStyle="1" w:styleId="cit-doi3">
    <w:name w:val="cit-doi3"/>
    <w:basedOn w:val="Fontepargpadro"/>
    <w:uiPriority w:val="99"/>
    <w:rsid w:val="001B6541"/>
  </w:style>
  <w:style w:type="character" w:customStyle="1" w:styleId="FootnoteTextChar">
    <w:name w:val="Footnote Text Char"/>
    <w:basedOn w:val="Fontepargpadro"/>
    <w:semiHidden/>
    <w:locked/>
    <w:rsid w:val="008B3756"/>
    <w:rPr>
      <w:rFonts w:ascii="Calibri" w:hAnsi="Calibri" w:cs="Calibri"/>
      <w:sz w:val="20"/>
      <w:szCs w:val="20"/>
    </w:rPr>
  </w:style>
  <w:style w:type="character" w:customStyle="1" w:styleId="st">
    <w:name w:val="st"/>
    <w:basedOn w:val="Fontepargpadro"/>
    <w:rsid w:val="008B3756"/>
  </w:style>
  <w:style w:type="paragraph" w:customStyle="1" w:styleId="ListParagraph2">
    <w:name w:val="List Paragraph2"/>
    <w:basedOn w:val="Normal"/>
    <w:rsid w:val="00CF5132"/>
    <w:pPr>
      <w:spacing w:after="200" w:line="276" w:lineRule="auto"/>
      <w:ind w:left="720"/>
    </w:pPr>
    <w:rPr>
      <w:rFonts w:ascii="Calibri" w:eastAsia="Calibri" w:hAnsi="Calibri" w:cs="Calibri"/>
      <w:sz w:val="22"/>
      <w:szCs w:val="22"/>
      <w:lang w:eastAsia="en-US"/>
    </w:rPr>
  </w:style>
  <w:style w:type="paragraph" w:styleId="Textodebalo">
    <w:name w:val="Balloon Text"/>
    <w:basedOn w:val="Normal"/>
    <w:link w:val="TextodebaloChar"/>
    <w:uiPriority w:val="99"/>
    <w:semiHidden/>
    <w:unhideWhenUsed/>
    <w:rsid w:val="00FF4070"/>
    <w:rPr>
      <w:rFonts w:ascii="Tahoma" w:hAnsi="Tahoma" w:cs="Tahoma"/>
      <w:sz w:val="16"/>
      <w:szCs w:val="16"/>
    </w:rPr>
  </w:style>
  <w:style w:type="character" w:customStyle="1" w:styleId="TextodebaloChar">
    <w:name w:val="Texto de balão Char"/>
    <w:basedOn w:val="Fontepargpadro"/>
    <w:link w:val="Textodebalo"/>
    <w:uiPriority w:val="99"/>
    <w:semiHidden/>
    <w:rsid w:val="00FF4070"/>
    <w:rPr>
      <w:rFonts w:ascii="Tahoma" w:eastAsia="Times New Roman" w:hAnsi="Tahoma" w:cs="Tahoma"/>
      <w:sz w:val="16"/>
      <w:szCs w:val="16"/>
    </w:rPr>
  </w:style>
  <w:style w:type="character" w:customStyle="1" w:styleId="kno-fv-vqfl">
    <w:name w:val="kno-fv-vq fl"/>
    <w:basedOn w:val="Fontepargpadro"/>
    <w:rsid w:val="003D2C38"/>
    <w:rPr>
      <w:rFonts w:cs="Times New Roman"/>
    </w:rPr>
  </w:style>
  <w:style w:type="character" w:customStyle="1" w:styleId="unsafesenderemail1">
    <w:name w:val="unsafesenderemail1"/>
    <w:basedOn w:val="Fontepargpadro"/>
    <w:rsid w:val="003D2C38"/>
  </w:style>
  <w:style w:type="character" w:customStyle="1" w:styleId="highlight">
    <w:name w:val="highlight"/>
    <w:basedOn w:val="Fontepargpadro"/>
    <w:rsid w:val="00A92F18"/>
  </w:style>
</w:styles>
</file>

<file path=word/webSettings.xml><?xml version="1.0" encoding="utf-8"?>
<w:webSettings xmlns:r="http://schemas.openxmlformats.org/officeDocument/2006/relationships" xmlns:w="http://schemas.openxmlformats.org/wordprocessingml/2006/main">
  <w:divs>
    <w:div w:id="56519406">
      <w:bodyDiv w:val="1"/>
      <w:marLeft w:val="0"/>
      <w:marRight w:val="0"/>
      <w:marTop w:val="0"/>
      <w:marBottom w:val="0"/>
      <w:divBdr>
        <w:top w:val="none" w:sz="0" w:space="0" w:color="auto"/>
        <w:left w:val="none" w:sz="0" w:space="0" w:color="auto"/>
        <w:bottom w:val="none" w:sz="0" w:space="0" w:color="auto"/>
        <w:right w:val="none" w:sz="0" w:space="0" w:color="auto"/>
      </w:divBdr>
    </w:div>
    <w:div w:id="152378200">
      <w:bodyDiv w:val="1"/>
      <w:marLeft w:val="0"/>
      <w:marRight w:val="0"/>
      <w:marTop w:val="0"/>
      <w:marBottom w:val="0"/>
      <w:divBdr>
        <w:top w:val="none" w:sz="0" w:space="0" w:color="auto"/>
        <w:left w:val="none" w:sz="0" w:space="0" w:color="auto"/>
        <w:bottom w:val="none" w:sz="0" w:space="0" w:color="auto"/>
        <w:right w:val="none" w:sz="0" w:space="0" w:color="auto"/>
      </w:divBdr>
      <w:divsChild>
        <w:div w:id="1800759584">
          <w:marLeft w:val="0"/>
          <w:marRight w:val="0"/>
          <w:marTop w:val="0"/>
          <w:marBottom w:val="0"/>
          <w:divBdr>
            <w:top w:val="none" w:sz="0" w:space="0" w:color="auto"/>
            <w:left w:val="none" w:sz="0" w:space="0" w:color="auto"/>
            <w:bottom w:val="none" w:sz="0" w:space="0" w:color="auto"/>
            <w:right w:val="none" w:sz="0" w:space="0" w:color="auto"/>
          </w:divBdr>
          <w:divsChild>
            <w:div w:id="1951551189">
              <w:marLeft w:val="0"/>
              <w:marRight w:val="0"/>
              <w:marTop w:val="0"/>
              <w:marBottom w:val="0"/>
              <w:divBdr>
                <w:top w:val="none" w:sz="0" w:space="0" w:color="auto"/>
                <w:left w:val="none" w:sz="0" w:space="0" w:color="auto"/>
                <w:bottom w:val="none" w:sz="0" w:space="0" w:color="auto"/>
                <w:right w:val="none" w:sz="0" w:space="0" w:color="auto"/>
              </w:divBdr>
              <w:divsChild>
                <w:div w:id="736168954">
                  <w:marLeft w:val="0"/>
                  <w:marRight w:val="0"/>
                  <w:marTop w:val="0"/>
                  <w:marBottom w:val="0"/>
                  <w:divBdr>
                    <w:top w:val="none" w:sz="0" w:space="0" w:color="auto"/>
                    <w:left w:val="none" w:sz="0" w:space="0" w:color="auto"/>
                    <w:bottom w:val="none" w:sz="0" w:space="0" w:color="auto"/>
                    <w:right w:val="none" w:sz="0" w:space="0" w:color="auto"/>
                  </w:divBdr>
                  <w:divsChild>
                    <w:div w:id="1134980411">
                      <w:marLeft w:val="0"/>
                      <w:marRight w:val="0"/>
                      <w:marTop w:val="0"/>
                      <w:marBottom w:val="0"/>
                      <w:divBdr>
                        <w:top w:val="none" w:sz="0" w:space="0" w:color="auto"/>
                        <w:left w:val="none" w:sz="0" w:space="0" w:color="auto"/>
                        <w:bottom w:val="none" w:sz="0" w:space="0" w:color="auto"/>
                        <w:right w:val="none" w:sz="0" w:space="0" w:color="auto"/>
                      </w:divBdr>
                      <w:divsChild>
                        <w:div w:id="453911860">
                          <w:marLeft w:val="0"/>
                          <w:marRight w:val="0"/>
                          <w:marTop w:val="0"/>
                          <w:marBottom w:val="0"/>
                          <w:divBdr>
                            <w:top w:val="none" w:sz="0" w:space="0" w:color="auto"/>
                            <w:left w:val="none" w:sz="0" w:space="0" w:color="auto"/>
                            <w:bottom w:val="none" w:sz="0" w:space="0" w:color="auto"/>
                            <w:right w:val="none" w:sz="0" w:space="0" w:color="auto"/>
                          </w:divBdr>
                          <w:divsChild>
                            <w:div w:id="1680691276">
                              <w:marLeft w:val="0"/>
                              <w:marRight w:val="0"/>
                              <w:marTop w:val="0"/>
                              <w:marBottom w:val="0"/>
                              <w:divBdr>
                                <w:top w:val="none" w:sz="0" w:space="0" w:color="auto"/>
                                <w:left w:val="none" w:sz="0" w:space="0" w:color="auto"/>
                                <w:bottom w:val="none" w:sz="0" w:space="0" w:color="auto"/>
                                <w:right w:val="none" w:sz="0" w:space="0" w:color="auto"/>
                              </w:divBdr>
                              <w:divsChild>
                                <w:div w:id="42349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744712">
      <w:bodyDiv w:val="1"/>
      <w:marLeft w:val="0"/>
      <w:marRight w:val="0"/>
      <w:marTop w:val="0"/>
      <w:marBottom w:val="0"/>
      <w:divBdr>
        <w:top w:val="none" w:sz="0" w:space="0" w:color="auto"/>
        <w:left w:val="none" w:sz="0" w:space="0" w:color="auto"/>
        <w:bottom w:val="none" w:sz="0" w:space="0" w:color="auto"/>
        <w:right w:val="none" w:sz="0" w:space="0" w:color="auto"/>
      </w:divBdr>
      <w:divsChild>
        <w:div w:id="135726575">
          <w:marLeft w:val="0"/>
          <w:marRight w:val="0"/>
          <w:marTop w:val="0"/>
          <w:marBottom w:val="0"/>
          <w:divBdr>
            <w:top w:val="single" w:sz="2" w:space="0" w:color="2E2E2E"/>
            <w:left w:val="single" w:sz="2" w:space="0" w:color="2E2E2E"/>
            <w:bottom w:val="single" w:sz="2" w:space="0" w:color="2E2E2E"/>
            <w:right w:val="single" w:sz="2" w:space="0" w:color="2E2E2E"/>
          </w:divBdr>
          <w:divsChild>
            <w:div w:id="62028435">
              <w:marLeft w:val="0"/>
              <w:marRight w:val="0"/>
              <w:marTop w:val="10"/>
              <w:marBottom w:val="0"/>
              <w:divBdr>
                <w:top w:val="none" w:sz="0" w:space="0" w:color="auto"/>
                <w:left w:val="none" w:sz="0" w:space="0" w:color="auto"/>
                <w:bottom w:val="none" w:sz="0" w:space="0" w:color="auto"/>
                <w:right w:val="none" w:sz="0" w:space="0" w:color="auto"/>
              </w:divBdr>
              <w:divsChild>
                <w:div w:id="342247592">
                  <w:marLeft w:val="0"/>
                  <w:marRight w:val="0"/>
                  <w:marTop w:val="0"/>
                  <w:marBottom w:val="0"/>
                  <w:divBdr>
                    <w:top w:val="none" w:sz="0" w:space="0" w:color="auto"/>
                    <w:left w:val="none" w:sz="0" w:space="0" w:color="auto"/>
                    <w:bottom w:val="none" w:sz="0" w:space="0" w:color="auto"/>
                    <w:right w:val="none" w:sz="0" w:space="0" w:color="auto"/>
                  </w:divBdr>
                  <w:divsChild>
                    <w:div w:id="178762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734162">
      <w:marLeft w:val="0"/>
      <w:marRight w:val="0"/>
      <w:marTop w:val="0"/>
      <w:marBottom w:val="0"/>
      <w:divBdr>
        <w:top w:val="none" w:sz="0" w:space="0" w:color="auto"/>
        <w:left w:val="none" w:sz="0" w:space="0" w:color="auto"/>
        <w:bottom w:val="none" w:sz="0" w:space="0" w:color="auto"/>
        <w:right w:val="none" w:sz="0" w:space="0" w:color="auto"/>
      </w:divBdr>
    </w:div>
    <w:div w:id="1016734163">
      <w:marLeft w:val="0"/>
      <w:marRight w:val="0"/>
      <w:marTop w:val="0"/>
      <w:marBottom w:val="0"/>
      <w:divBdr>
        <w:top w:val="none" w:sz="0" w:space="0" w:color="auto"/>
        <w:left w:val="none" w:sz="0" w:space="0" w:color="auto"/>
        <w:bottom w:val="none" w:sz="0" w:space="0" w:color="auto"/>
        <w:right w:val="none" w:sz="0" w:space="0" w:color="auto"/>
      </w:divBdr>
    </w:div>
    <w:div w:id="1016734164">
      <w:marLeft w:val="0"/>
      <w:marRight w:val="0"/>
      <w:marTop w:val="0"/>
      <w:marBottom w:val="0"/>
      <w:divBdr>
        <w:top w:val="none" w:sz="0" w:space="0" w:color="auto"/>
        <w:left w:val="none" w:sz="0" w:space="0" w:color="auto"/>
        <w:bottom w:val="none" w:sz="0" w:space="0" w:color="auto"/>
        <w:right w:val="none" w:sz="0" w:space="0" w:color="auto"/>
      </w:divBdr>
    </w:div>
    <w:div w:id="1016734190">
      <w:marLeft w:val="0"/>
      <w:marRight w:val="0"/>
      <w:marTop w:val="0"/>
      <w:marBottom w:val="0"/>
      <w:divBdr>
        <w:top w:val="none" w:sz="0" w:space="0" w:color="auto"/>
        <w:left w:val="none" w:sz="0" w:space="0" w:color="auto"/>
        <w:bottom w:val="none" w:sz="0" w:space="0" w:color="auto"/>
        <w:right w:val="none" w:sz="0" w:space="0" w:color="auto"/>
      </w:divBdr>
      <w:divsChild>
        <w:div w:id="1016734184">
          <w:marLeft w:val="0"/>
          <w:marRight w:val="0"/>
          <w:marTop w:val="0"/>
          <w:marBottom w:val="0"/>
          <w:divBdr>
            <w:top w:val="none" w:sz="0" w:space="0" w:color="auto"/>
            <w:left w:val="none" w:sz="0" w:space="0" w:color="auto"/>
            <w:bottom w:val="none" w:sz="0" w:space="0" w:color="auto"/>
            <w:right w:val="none" w:sz="0" w:space="0" w:color="auto"/>
          </w:divBdr>
          <w:divsChild>
            <w:div w:id="1016734174">
              <w:marLeft w:val="0"/>
              <w:marRight w:val="0"/>
              <w:marTop w:val="0"/>
              <w:marBottom w:val="0"/>
              <w:divBdr>
                <w:top w:val="none" w:sz="0" w:space="0" w:color="auto"/>
                <w:left w:val="none" w:sz="0" w:space="0" w:color="auto"/>
                <w:bottom w:val="none" w:sz="0" w:space="0" w:color="auto"/>
                <w:right w:val="none" w:sz="0" w:space="0" w:color="auto"/>
              </w:divBdr>
              <w:divsChild>
                <w:div w:id="1016734177">
                  <w:marLeft w:val="0"/>
                  <w:marRight w:val="0"/>
                  <w:marTop w:val="0"/>
                  <w:marBottom w:val="0"/>
                  <w:divBdr>
                    <w:top w:val="none" w:sz="0" w:space="0" w:color="auto"/>
                    <w:left w:val="none" w:sz="0" w:space="0" w:color="auto"/>
                    <w:bottom w:val="none" w:sz="0" w:space="0" w:color="auto"/>
                    <w:right w:val="none" w:sz="0" w:space="0" w:color="auto"/>
                  </w:divBdr>
                  <w:divsChild>
                    <w:div w:id="1016734194">
                      <w:marLeft w:val="0"/>
                      <w:marRight w:val="0"/>
                      <w:marTop w:val="0"/>
                      <w:marBottom w:val="0"/>
                      <w:divBdr>
                        <w:top w:val="none" w:sz="0" w:space="0" w:color="auto"/>
                        <w:left w:val="none" w:sz="0" w:space="0" w:color="auto"/>
                        <w:bottom w:val="none" w:sz="0" w:space="0" w:color="auto"/>
                        <w:right w:val="none" w:sz="0" w:space="0" w:color="auto"/>
                      </w:divBdr>
                      <w:divsChild>
                        <w:div w:id="1016734180">
                          <w:marLeft w:val="0"/>
                          <w:marRight w:val="0"/>
                          <w:marTop w:val="0"/>
                          <w:marBottom w:val="0"/>
                          <w:divBdr>
                            <w:top w:val="single" w:sz="4" w:space="0" w:color="BFBFBF"/>
                            <w:left w:val="single" w:sz="4" w:space="0" w:color="BFBFBF"/>
                            <w:bottom w:val="single" w:sz="4" w:space="0" w:color="BFBFBF"/>
                            <w:right w:val="single" w:sz="4" w:space="0" w:color="BFBFBF"/>
                          </w:divBdr>
                          <w:divsChild>
                            <w:div w:id="1016734178">
                              <w:marLeft w:val="0"/>
                              <w:marRight w:val="0"/>
                              <w:marTop w:val="0"/>
                              <w:marBottom w:val="0"/>
                              <w:divBdr>
                                <w:top w:val="none" w:sz="0" w:space="0" w:color="auto"/>
                                <w:left w:val="none" w:sz="0" w:space="0" w:color="auto"/>
                                <w:bottom w:val="none" w:sz="0" w:space="0" w:color="auto"/>
                                <w:right w:val="none" w:sz="0" w:space="0" w:color="auto"/>
                              </w:divBdr>
                              <w:divsChild>
                                <w:div w:id="1016734195">
                                  <w:marLeft w:val="0"/>
                                  <w:marRight w:val="0"/>
                                  <w:marTop w:val="0"/>
                                  <w:marBottom w:val="0"/>
                                  <w:divBdr>
                                    <w:top w:val="none" w:sz="0" w:space="0" w:color="auto"/>
                                    <w:left w:val="none" w:sz="0" w:space="0" w:color="auto"/>
                                    <w:bottom w:val="none" w:sz="0" w:space="0" w:color="auto"/>
                                    <w:right w:val="none" w:sz="0" w:space="0" w:color="auto"/>
                                  </w:divBdr>
                                  <w:divsChild>
                                    <w:div w:id="1016734193">
                                      <w:marLeft w:val="0"/>
                                      <w:marRight w:val="0"/>
                                      <w:marTop w:val="0"/>
                                      <w:marBottom w:val="0"/>
                                      <w:divBdr>
                                        <w:top w:val="none" w:sz="0" w:space="0" w:color="auto"/>
                                        <w:left w:val="none" w:sz="0" w:space="0" w:color="auto"/>
                                        <w:bottom w:val="none" w:sz="0" w:space="0" w:color="auto"/>
                                        <w:right w:val="none" w:sz="0" w:space="0" w:color="auto"/>
                                      </w:divBdr>
                                      <w:divsChild>
                                        <w:div w:id="1016734183">
                                          <w:marLeft w:val="0"/>
                                          <w:marRight w:val="0"/>
                                          <w:marTop w:val="0"/>
                                          <w:marBottom w:val="0"/>
                                          <w:divBdr>
                                            <w:top w:val="none" w:sz="0" w:space="0" w:color="auto"/>
                                            <w:left w:val="none" w:sz="0" w:space="0" w:color="auto"/>
                                            <w:bottom w:val="none" w:sz="0" w:space="0" w:color="auto"/>
                                            <w:right w:val="none" w:sz="0" w:space="0" w:color="auto"/>
                                          </w:divBdr>
                                          <w:divsChild>
                                            <w:div w:id="1016734173">
                                              <w:marLeft w:val="0"/>
                                              <w:marRight w:val="0"/>
                                              <w:marTop w:val="0"/>
                                              <w:marBottom w:val="0"/>
                                              <w:divBdr>
                                                <w:top w:val="none" w:sz="0" w:space="0" w:color="auto"/>
                                                <w:left w:val="none" w:sz="0" w:space="0" w:color="auto"/>
                                                <w:bottom w:val="none" w:sz="0" w:space="0" w:color="auto"/>
                                                <w:right w:val="none" w:sz="0" w:space="0" w:color="auto"/>
                                              </w:divBdr>
                                              <w:divsChild>
                                                <w:div w:id="1016734181">
                                                  <w:marLeft w:val="0"/>
                                                  <w:marRight w:val="0"/>
                                                  <w:marTop w:val="0"/>
                                                  <w:marBottom w:val="0"/>
                                                  <w:divBdr>
                                                    <w:top w:val="none" w:sz="0" w:space="0" w:color="auto"/>
                                                    <w:left w:val="none" w:sz="0" w:space="0" w:color="auto"/>
                                                    <w:bottom w:val="none" w:sz="0" w:space="0" w:color="auto"/>
                                                    <w:right w:val="none" w:sz="0" w:space="0" w:color="auto"/>
                                                  </w:divBdr>
                                                  <w:divsChild>
                                                    <w:div w:id="1016734166">
                                                      <w:marLeft w:val="0"/>
                                                      <w:marRight w:val="0"/>
                                                      <w:marTop w:val="0"/>
                                                      <w:marBottom w:val="0"/>
                                                      <w:divBdr>
                                                        <w:top w:val="none" w:sz="0" w:space="0" w:color="auto"/>
                                                        <w:left w:val="none" w:sz="0" w:space="0" w:color="auto"/>
                                                        <w:bottom w:val="none" w:sz="0" w:space="0" w:color="auto"/>
                                                        <w:right w:val="none" w:sz="0" w:space="0" w:color="auto"/>
                                                      </w:divBdr>
                                                      <w:divsChild>
                                                        <w:div w:id="1016734175">
                                                          <w:marLeft w:val="0"/>
                                                          <w:marRight w:val="0"/>
                                                          <w:marTop w:val="0"/>
                                                          <w:marBottom w:val="0"/>
                                                          <w:divBdr>
                                                            <w:top w:val="single" w:sz="4" w:space="0" w:color="CBCBCB"/>
                                                            <w:left w:val="single" w:sz="4" w:space="0" w:color="CBCBCB"/>
                                                            <w:bottom w:val="single" w:sz="4" w:space="0" w:color="CBCBCB"/>
                                                            <w:right w:val="single" w:sz="4" w:space="0" w:color="CBCBCB"/>
                                                          </w:divBdr>
                                                          <w:divsChild>
                                                            <w:div w:id="1016734168">
                                                              <w:marLeft w:val="0"/>
                                                              <w:marRight w:val="0"/>
                                                              <w:marTop w:val="0"/>
                                                              <w:marBottom w:val="0"/>
                                                              <w:divBdr>
                                                                <w:top w:val="none" w:sz="0" w:space="0" w:color="auto"/>
                                                                <w:left w:val="none" w:sz="0" w:space="0" w:color="auto"/>
                                                                <w:bottom w:val="none" w:sz="0" w:space="0" w:color="auto"/>
                                                                <w:right w:val="none" w:sz="0" w:space="0" w:color="auto"/>
                                                              </w:divBdr>
                                                            </w:div>
                                                            <w:div w:id="101673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6734192">
      <w:marLeft w:val="0"/>
      <w:marRight w:val="0"/>
      <w:marTop w:val="0"/>
      <w:marBottom w:val="0"/>
      <w:divBdr>
        <w:top w:val="none" w:sz="0" w:space="0" w:color="auto"/>
        <w:left w:val="none" w:sz="0" w:space="0" w:color="auto"/>
        <w:bottom w:val="none" w:sz="0" w:space="0" w:color="auto"/>
        <w:right w:val="none" w:sz="0" w:space="0" w:color="auto"/>
      </w:divBdr>
      <w:divsChild>
        <w:div w:id="1016734186">
          <w:marLeft w:val="0"/>
          <w:marRight w:val="0"/>
          <w:marTop w:val="0"/>
          <w:marBottom w:val="0"/>
          <w:divBdr>
            <w:top w:val="none" w:sz="0" w:space="0" w:color="auto"/>
            <w:left w:val="none" w:sz="0" w:space="0" w:color="auto"/>
            <w:bottom w:val="none" w:sz="0" w:space="0" w:color="auto"/>
            <w:right w:val="none" w:sz="0" w:space="0" w:color="auto"/>
          </w:divBdr>
          <w:divsChild>
            <w:div w:id="1016734179">
              <w:marLeft w:val="0"/>
              <w:marRight w:val="0"/>
              <w:marTop w:val="0"/>
              <w:marBottom w:val="0"/>
              <w:divBdr>
                <w:top w:val="none" w:sz="0" w:space="0" w:color="auto"/>
                <w:left w:val="none" w:sz="0" w:space="0" w:color="auto"/>
                <w:bottom w:val="none" w:sz="0" w:space="0" w:color="auto"/>
                <w:right w:val="none" w:sz="0" w:space="0" w:color="auto"/>
              </w:divBdr>
              <w:divsChild>
                <w:div w:id="1016734165">
                  <w:marLeft w:val="0"/>
                  <w:marRight w:val="0"/>
                  <w:marTop w:val="0"/>
                  <w:marBottom w:val="0"/>
                  <w:divBdr>
                    <w:top w:val="none" w:sz="0" w:space="0" w:color="auto"/>
                    <w:left w:val="none" w:sz="0" w:space="0" w:color="auto"/>
                    <w:bottom w:val="none" w:sz="0" w:space="0" w:color="auto"/>
                    <w:right w:val="none" w:sz="0" w:space="0" w:color="auto"/>
                  </w:divBdr>
                  <w:divsChild>
                    <w:div w:id="1016734170">
                      <w:marLeft w:val="0"/>
                      <w:marRight w:val="0"/>
                      <w:marTop w:val="0"/>
                      <w:marBottom w:val="0"/>
                      <w:divBdr>
                        <w:top w:val="none" w:sz="0" w:space="0" w:color="auto"/>
                        <w:left w:val="none" w:sz="0" w:space="0" w:color="auto"/>
                        <w:bottom w:val="none" w:sz="0" w:space="0" w:color="auto"/>
                        <w:right w:val="none" w:sz="0" w:space="0" w:color="auto"/>
                      </w:divBdr>
                      <w:divsChild>
                        <w:div w:id="1016734176">
                          <w:marLeft w:val="0"/>
                          <w:marRight w:val="0"/>
                          <w:marTop w:val="0"/>
                          <w:marBottom w:val="0"/>
                          <w:divBdr>
                            <w:top w:val="single" w:sz="4" w:space="0" w:color="BFBFBF"/>
                            <w:left w:val="single" w:sz="4" w:space="0" w:color="BFBFBF"/>
                            <w:bottom w:val="single" w:sz="4" w:space="0" w:color="BFBFBF"/>
                            <w:right w:val="single" w:sz="4" w:space="0" w:color="BFBFBF"/>
                          </w:divBdr>
                          <w:divsChild>
                            <w:div w:id="1016734191">
                              <w:marLeft w:val="0"/>
                              <w:marRight w:val="0"/>
                              <w:marTop w:val="0"/>
                              <w:marBottom w:val="0"/>
                              <w:divBdr>
                                <w:top w:val="none" w:sz="0" w:space="0" w:color="auto"/>
                                <w:left w:val="none" w:sz="0" w:space="0" w:color="auto"/>
                                <w:bottom w:val="none" w:sz="0" w:space="0" w:color="auto"/>
                                <w:right w:val="none" w:sz="0" w:space="0" w:color="auto"/>
                              </w:divBdr>
                              <w:divsChild>
                                <w:div w:id="1016734187">
                                  <w:marLeft w:val="0"/>
                                  <w:marRight w:val="0"/>
                                  <w:marTop w:val="0"/>
                                  <w:marBottom w:val="0"/>
                                  <w:divBdr>
                                    <w:top w:val="none" w:sz="0" w:space="0" w:color="auto"/>
                                    <w:left w:val="none" w:sz="0" w:space="0" w:color="auto"/>
                                    <w:bottom w:val="none" w:sz="0" w:space="0" w:color="auto"/>
                                    <w:right w:val="none" w:sz="0" w:space="0" w:color="auto"/>
                                  </w:divBdr>
                                  <w:divsChild>
                                    <w:div w:id="1016734188">
                                      <w:marLeft w:val="0"/>
                                      <w:marRight w:val="0"/>
                                      <w:marTop w:val="0"/>
                                      <w:marBottom w:val="0"/>
                                      <w:divBdr>
                                        <w:top w:val="none" w:sz="0" w:space="0" w:color="auto"/>
                                        <w:left w:val="none" w:sz="0" w:space="0" w:color="auto"/>
                                        <w:bottom w:val="none" w:sz="0" w:space="0" w:color="auto"/>
                                        <w:right w:val="none" w:sz="0" w:space="0" w:color="auto"/>
                                      </w:divBdr>
                                      <w:divsChild>
                                        <w:div w:id="1016734185">
                                          <w:marLeft w:val="0"/>
                                          <w:marRight w:val="0"/>
                                          <w:marTop w:val="0"/>
                                          <w:marBottom w:val="0"/>
                                          <w:divBdr>
                                            <w:top w:val="none" w:sz="0" w:space="0" w:color="auto"/>
                                            <w:left w:val="none" w:sz="0" w:space="0" w:color="auto"/>
                                            <w:bottom w:val="none" w:sz="0" w:space="0" w:color="auto"/>
                                            <w:right w:val="none" w:sz="0" w:space="0" w:color="auto"/>
                                          </w:divBdr>
                                          <w:divsChild>
                                            <w:div w:id="1016734182">
                                              <w:marLeft w:val="0"/>
                                              <w:marRight w:val="0"/>
                                              <w:marTop w:val="0"/>
                                              <w:marBottom w:val="0"/>
                                              <w:divBdr>
                                                <w:top w:val="none" w:sz="0" w:space="0" w:color="auto"/>
                                                <w:left w:val="none" w:sz="0" w:space="0" w:color="auto"/>
                                                <w:bottom w:val="none" w:sz="0" w:space="0" w:color="auto"/>
                                                <w:right w:val="none" w:sz="0" w:space="0" w:color="auto"/>
                                              </w:divBdr>
                                              <w:divsChild>
                                                <w:div w:id="1016734171">
                                                  <w:marLeft w:val="0"/>
                                                  <w:marRight w:val="0"/>
                                                  <w:marTop w:val="0"/>
                                                  <w:marBottom w:val="0"/>
                                                  <w:divBdr>
                                                    <w:top w:val="none" w:sz="0" w:space="0" w:color="auto"/>
                                                    <w:left w:val="none" w:sz="0" w:space="0" w:color="auto"/>
                                                    <w:bottom w:val="none" w:sz="0" w:space="0" w:color="auto"/>
                                                    <w:right w:val="none" w:sz="0" w:space="0" w:color="auto"/>
                                                  </w:divBdr>
                                                  <w:divsChild>
                                                    <w:div w:id="1016734196">
                                                      <w:marLeft w:val="0"/>
                                                      <w:marRight w:val="0"/>
                                                      <w:marTop w:val="0"/>
                                                      <w:marBottom w:val="0"/>
                                                      <w:divBdr>
                                                        <w:top w:val="none" w:sz="0" w:space="0" w:color="auto"/>
                                                        <w:left w:val="none" w:sz="0" w:space="0" w:color="auto"/>
                                                        <w:bottom w:val="none" w:sz="0" w:space="0" w:color="auto"/>
                                                        <w:right w:val="none" w:sz="0" w:space="0" w:color="auto"/>
                                                      </w:divBdr>
                                                      <w:divsChild>
                                                        <w:div w:id="1016734167">
                                                          <w:marLeft w:val="0"/>
                                                          <w:marRight w:val="0"/>
                                                          <w:marTop w:val="0"/>
                                                          <w:marBottom w:val="0"/>
                                                          <w:divBdr>
                                                            <w:top w:val="single" w:sz="4" w:space="0" w:color="CBCBCB"/>
                                                            <w:left w:val="single" w:sz="4" w:space="0" w:color="CBCBCB"/>
                                                            <w:bottom w:val="single" w:sz="4" w:space="0" w:color="CBCBCB"/>
                                                            <w:right w:val="single" w:sz="4" w:space="0" w:color="CBCBCB"/>
                                                          </w:divBdr>
                                                          <w:divsChild>
                                                            <w:div w:id="1016734169">
                                                              <w:marLeft w:val="0"/>
                                                              <w:marRight w:val="0"/>
                                                              <w:marTop w:val="0"/>
                                                              <w:marBottom w:val="0"/>
                                                              <w:divBdr>
                                                                <w:top w:val="none" w:sz="0" w:space="0" w:color="auto"/>
                                                                <w:left w:val="none" w:sz="0" w:space="0" w:color="auto"/>
                                                                <w:bottom w:val="none" w:sz="0" w:space="0" w:color="auto"/>
                                                                <w:right w:val="none" w:sz="0" w:space="0" w:color="auto"/>
                                                              </w:divBdr>
                                                            </w:div>
                                                            <w:div w:id="101673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6734197">
      <w:marLeft w:val="0"/>
      <w:marRight w:val="0"/>
      <w:marTop w:val="0"/>
      <w:marBottom w:val="0"/>
      <w:divBdr>
        <w:top w:val="none" w:sz="0" w:space="0" w:color="auto"/>
        <w:left w:val="none" w:sz="0" w:space="0" w:color="auto"/>
        <w:bottom w:val="none" w:sz="0" w:space="0" w:color="auto"/>
        <w:right w:val="none" w:sz="0" w:space="0" w:color="auto"/>
      </w:divBdr>
    </w:div>
    <w:div w:id="1016734198">
      <w:marLeft w:val="0"/>
      <w:marRight w:val="0"/>
      <w:marTop w:val="0"/>
      <w:marBottom w:val="0"/>
      <w:divBdr>
        <w:top w:val="none" w:sz="0" w:space="0" w:color="auto"/>
        <w:left w:val="none" w:sz="0" w:space="0" w:color="auto"/>
        <w:bottom w:val="none" w:sz="0" w:space="0" w:color="auto"/>
        <w:right w:val="none" w:sz="0" w:space="0" w:color="auto"/>
      </w:divBdr>
    </w:div>
    <w:div w:id="1016734205">
      <w:marLeft w:val="0"/>
      <w:marRight w:val="0"/>
      <w:marTop w:val="0"/>
      <w:marBottom w:val="0"/>
      <w:divBdr>
        <w:top w:val="none" w:sz="0" w:space="0" w:color="auto"/>
        <w:left w:val="none" w:sz="0" w:space="0" w:color="auto"/>
        <w:bottom w:val="none" w:sz="0" w:space="0" w:color="auto"/>
        <w:right w:val="none" w:sz="0" w:space="0" w:color="auto"/>
      </w:divBdr>
      <w:divsChild>
        <w:div w:id="1016734210">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16">
              <w:marLeft w:val="0"/>
              <w:marRight w:val="0"/>
              <w:marTop w:val="9"/>
              <w:marBottom w:val="0"/>
              <w:divBdr>
                <w:top w:val="none" w:sz="0" w:space="0" w:color="auto"/>
                <w:left w:val="none" w:sz="0" w:space="0" w:color="auto"/>
                <w:bottom w:val="none" w:sz="0" w:space="0" w:color="auto"/>
                <w:right w:val="none" w:sz="0" w:space="0" w:color="auto"/>
              </w:divBdr>
              <w:divsChild>
                <w:div w:id="101673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734207">
      <w:marLeft w:val="0"/>
      <w:marRight w:val="0"/>
      <w:marTop w:val="0"/>
      <w:marBottom w:val="0"/>
      <w:divBdr>
        <w:top w:val="none" w:sz="0" w:space="0" w:color="auto"/>
        <w:left w:val="none" w:sz="0" w:space="0" w:color="auto"/>
        <w:bottom w:val="none" w:sz="0" w:space="0" w:color="auto"/>
        <w:right w:val="none" w:sz="0" w:space="0" w:color="auto"/>
      </w:divBdr>
      <w:divsChild>
        <w:div w:id="1016734202">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21">
              <w:marLeft w:val="0"/>
              <w:marRight w:val="0"/>
              <w:marTop w:val="9"/>
              <w:marBottom w:val="0"/>
              <w:divBdr>
                <w:top w:val="none" w:sz="0" w:space="0" w:color="auto"/>
                <w:left w:val="none" w:sz="0" w:space="0" w:color="auto"/>
                <w:bottom w:val="none" w:sz="0" w:space="0" w:color="auto"/>
                <w:right w:val="none" w:sz="0" w:space="0" w:color="auto"/>
              </w:divBdr>
              <w:divsChild>
                <w:div w:id="101673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734208">
      <w:marLeft w:val="0"/>
      <w:marRight w:val="0"/>
      <w:marTop w:val="0"/>
      <w:marBottom w:val="0"/>
      <w:divBdr>
        <w:top w:val="none" w:sz="0" w:space="0" w:color="auto"/>
        <w:left w:val="none" w:sz="0" w:space="0" w:color="auto"/>
        <w:bottom w:val="none" w:sz="0" w:space="0" w:color="auto"/>
        <w:right w:val="none" w:sz="0" w:space="0" w:color="auto"/>
      </w:divBdr>
      <w:divsChild>
        <w:div w:id="1016734206">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01">
              <w:marLeft w:val="0"/>
              <w:marRight w:val="0"/>
              <w:marTop w:val="9"/>
              <w:marBottom w:val="0"/>
              <w:divBdr>
                <w:top w:val="none" w:sz="0" w:space="0" w:color="auto"/>
                <w:left w:val="none" w:sz="0" w:space="0" w:color="auto"/>
                <w:bottom w:val="none" w:sz="0" w:space="0" w:color="auto"/>
                <w:right w:val="none" w:sz="0" w:space="0" w:color="auto"/>
              </w:divBdr>
              <w:divsChild>
                <w:div w:id="101673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734215">
      <w:marLeft w:val="0"/>
      <w:marRight w:val="0"/>
      <w:marTop w:val="0"/>
      <w:marBottom w:val="0"/>
      <w:divBdr>
        <w:top w:val="none" w:sz="0" w:space="0" w:color="auto"/>
        <w:left w:val="none" w:sz="0" w:space="0" w:color="auto"/>
        <w:bottom w:val="none" w:sz="0" w:space="0" w:color="auto"/>
        <w:right w:val="none" w:sz="0" w:space="0" w:color="auto"/>
      </w:divBdr>
      <w:divsChild>
        <w:div w:id="1016734204">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18">
              <w:marLeft w:val="0"/>
              <w:marRight w:val="0"/>
              <w:marTop w:val="9"/>
              <w:marBottom w:val="0"/>
              <w:divBdr>
                <w:top w:val="none" w:sz="0" w:space="0" w:color="auto"/>
                <w:left w:val="none" w:sz="0" w:space="0" w:color="auto"/>
                <w:bottom w:val="none" w:sz="0" w:space="0" w:color="auto"/>
                <w:right w:val="none" w:sz="0" w:space="0" w:color="auto"/>
              </w:divBdr>
              <w:divsChild>
                <w:div w:id="10167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734217">
      <w:marLeft w:val="0"/>
      <w:marRight w:val="0"/>
      <w:marTop w:val="0"/>
      <w:marBottom w:val="0"/>
      <w:divBdr>
        <w:top w:val="none" w:sz="0" w:space="0" w:color="auto"/>
        <w:left w:val="none" w:sz="0" w:space="0" w:color="auto"/>
        <w:bottom w:val="none" w:sz="0" w:space="0" w:color="auto"/>
        <w:right w:val="none" w:sz="0" w:space="0" w:color="auto"/>
      </w:divBdr>
      <w:divsChild>
        <w:div w:id="1016734209">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13">
              <w:marLeft w:val="0"/>
              <w:marRight w:val="0"/>
              <w:marTop w:val="9"/>
              <w:marBottom w:val="0"/>
              <w:divBdr>
                <w:top w:val="none" w:sz="0" w:space="0" w:color="auto"/>
                <w:left w:val="none" w:sz="0" w:space="0" w:color="auto"/>
                <w:bottom w:val="none" w:sz="0" w:space="0" w:color="auto"/>
                <w:right w:val="none" w:sz="0" w:space="0" w:color="auto"/>
              </w:divBdr>
              <w:divsChild>
                <w:div w:id="101673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734219">
      <w:marLeft w:val="0"/>
      <w:marRight w:val="0"/>
      <w:marTop w:val="0"/>
      <w:marBottom w:val="0"/>
      <w:divBdr>
        <w:top w:val="none" w:sz="0" w:space="0" w:color="auto"/>
        <w:left w:val="none" w:sz="0" w:space="0" w:color="auto"/>
        <w:bottom w:val="none" w:sz="0" w:space="0" w:color="auto"/>
        <w:right w:val="none" w:sz="0" w:space="0" w:color="auto"/>
      </w:divBdr>
      <w:divsChild>
        <w:div w:id="1016734199">
          <w:marLeft w:val="0"/>
          <w:marRight w:val="0"/>
          <w:marTop w:val="0"/>
          <w:marBottom w:val="0"/>
          <w:divBdr>
            <w:top w:val="single" w:sz="2" w:space="0" w:color="2E2E2E"/>
            <w:left w:val="single" w:sz="2" w:space="0" w:color="2E2E2E"/>
            <w:bottom w:val="single" w:sz="2" w:space="0" w:color="2E2E2E"/>
            <w:right w:val="single" w:sz="2" w:space="0" w:color="2E2E2E"/>
          </w:divBdr>
          <w:divsChild>
            <w:div w:id="1016734211">
              <w:marLeft w:val="0"/>
              <w:marRight w:val="0"/>
              <w:marTop w:val="9"/>
              <w:marBottom w:val="0"/>
              <w:divBdr>
                <w:top w:val="none" w:sz="0" w:space="0" w:color="auto"/>
                <w:left w:val="none" w:sz="0" w:space="0" w:color="auto"/>
                <w:bottom w:val="none" w:sz="0" w:space="0" w:color="auto"/>
                <w:right w:val="none" w:sz="0" w:space="0" w:color="auto"/>
              </w:divBdr>
              <w:divsChild>
                <w:div w:id="10167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66397">
      <w:bodyDiv w:val="1"/>
      <w:marLeft w:val="0"/>
      <w:marRight w:val="0"/>
      <w:marTop w:val="0"/>
      <w:marBottom w:val="0"/>
      <w:divBdr>
        <w:top w:val="none" w:sz="0" w:space="0" w:color="auto"/>
        <w:left w:val="none" w:sz="0" w:space="0" w:color="auto"/>
        <w:bottom w:val="none" w:sz="0" w:space="0" w:color="auto"/>
        <w:right w:val="none" w:sz="0" w:space="0" w:color="auto"/>
      </w:divBdr>
    </w:div>
    <w:div w:id="196040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www.sciencedirect.com/science/article/pii/S014486171100862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aq_hack@hotmail.com" TargetMode="External"/><Relationship Id="rId12" Type="http://schemas.openxmlformats.org/officeDocument/2006/relationships/chart" Target="charts/chart5.xml"/><Relationship Id="rId17" Type="http://schemas.openxmlformats.org/officeDocument/2006/relationships/hyperlink" Target="http://www.sciencedirect.com/science/article/pii/S0144861711008629" TargetMode="External"/><Relationship Id="rId2" Type="http://schemas.openxmlformats.org/officeDocument/2006/relationships/styles" Target="styles.xml"/><Relationship Id="rId16" Type="http://schemas.openxmlformats.org/officeDocument/2006/relationships/hyperlink" Target="http://www.ncbi.nlm.nih.gov/pubmed?term=Capanoglu%20E%5BAuthor%5D&amp;cauthor=true&amp;cauthor_uid=2142695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yperlink" Target="http://www.ncbi.nlm.nih.gov/pubmed?term=Boyacioglu%20D%5BAuthor%5D&amp;cauthor=true&amp;cauthor_uid=21426952" TargetMode="Externa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www.ncbi.nlm.nih.gov/pubmed?term=Isik%20U%5BAuthor%5D&amp;cauthor=true&amp;cauthor_uid=2142695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aiana\Disciplina%20Pesquisa%20aplicada%20em%20nutri&#231;&#227;o\Grupos\Jaqueline\gr&#225;ficos%20frequencia.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aiana\Disciplina%20Pesquisa%20aplicada%20em%20nutri&#231;&#227;o\Grupos\Jaqueline\gr&#225;ficos%20frequencia.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aiana\Disciplina%20Pesquisa%20aplicada%20em%20nutri&#231;&#227;o\Grupos\Jaqueline\gr&#225;ficos%20frequencia.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aiana\Disciplina%20Pesquisa%20aplicada%20em%20nutri&#231;&#227;o\Grupos\Jaqueline\gr&#225;ficos%20frequencia.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aiana\Disciplina%20Pesquisa%20aplicada%20em%20nutri&#231;&#227;o\Grupos\Jaqueline\gr&#225;ficos%20frequencia.xls"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aiana\Disciplina%20Pesquisa%20aplicada%20em%20nutri&#231;&#227;o\Grupos\Jaqueline\gr&#225;fico%20aceitabilidad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Appearance scores</a:t>
            </a:r>
          </a:p>
        </c:rich>
      </c:tx>
      <c:layout>
        <c:manualLayout>
          <c:xMode val="edge"/>
          <c:yMode val="edge"/>
          <c:x val="0.35510935277143779"/>
          <c:y val="0.82545975588136256"/>
        </c:manualLayout>
      </c:layout>
      <c:spPr>
        <a:noFill/>
        <a:ln w="25400">
          <a:noFill/>
        </a:ln>
      </c:spPr>
    </c:title>
    <c:plotArea>
      <c:layout>
        <c:manualLayout>
          <c:layoutTarget val="inner"/>
          <c:xMode val="edge"/>
          <c:yMode val="edge"/>
          <c:x val="0.15873015873015894"/>
          <c:y val="4.8458149779735685E-2"/>
          <c:w val="0.66402116402116462"/>
          <c:h val="0.65198237885462551"/>
        </c:manualLayout>
      </c:layout>
      <c:barChart>
        <c:barDir val="col"/>
        <c:grouping val="clustered"/>
        <c:ser>
          <c:idx val="0"/>
          <c:order val="0"/>
          <c:tx>
            <c:strRef>
              <c:f>Plan1!$B$2</c:f>
              <c:strCache>
                <c:ptCount val="1"/>
                <c:pt idx="0">
                  <c:v>F1</c:v>
                </c:pt>
              </c:strCache>
            </c:strRef>
          </c:tx>
          <c:spPr>
            <a:solidFill>
              <a:schemeClr val="bg1">
                <a:lumMod val="85000"/>
              </a:schemeClr>
            </a:solidFill>
            <a:ln>
              <a:solidFill>
                <a:schemeClr val="bg1">
                  <a:lumMod val="85000"/>
                </a:schemeClr>
              </a:solidFill>
            </a:ln>
          </c:spPr>
          <c:val>
            <c:numRef>
              <c:f>Plan1!$B$3:$B$9</c:f>
              <c:numCache>
                <c:formatCode>General</c:formatCode>
                <c:ptCount val="7"/>
                <c:pt idx="0">
                  <c:v>0</c:v>
                </c:pt>
                <c:pt idx="1">
                  <c:v>0</c:v>
                </c:pt>
                <c:pt idx="2">
                  <c:v>1.9000000000000001</c:v>
                </c:pt>
                <c:pt idx="3">
                  <c:v>7.5</c:v>
                </c:pt>
                <c:pt idx="4">
                  <c:v>7.5</c:v>
                </c:pt>
                <c:pt idx="5">
                  <c:v>20.8</c:v>
                </c:pt>
                <c:pt idx="6">
                  <c:v>62.3</c:v>
                </c:pt>
              </c:numCache>
            </c:numRef>
          </c:val>
        </c:ser>
        <c:ser>
          <c:idx val="1"/>
          <c:order val="1"/>
          <c:tx>
            <c:strRef>
              <c:f>Plan1!$C$2</c:f>
              <c:strCache>
                <c:ptCount val="1"/>
                <c:pt idx="0">
                  <c:v>F2</c:v>
                </c:pt>
              </c:strCache>
            </c:strRef>
          </c:tx>
          <c:spPr>
            <a:solidFill>
              <a:schemeClr val="bg1">
                <a:lumMod val="75000"/>
              </a:schemeClr>
            </a:solidFill>
            <a:ln w="12700">
              <a:solidFill>
                <a:schemeClr val="bg1">
                  <a:lumMod val="75000"/>
                </a:schemeClr>
              </a:solidFill>
              <a:prstDash val="solid"/>
            </a:ln>
          </c:spPr>
          <c:val>
            <c:numRef>
              <c:f>Plan1!$C$3:$C$9</c:f>
              <c:numCache>
                <c:formatCode>General</c:formatCode>
                <c:ptCount val="7"/>
                <c:pt idx="0">
                  <c:v>0</c:v>
                </c:pt>
                <c:pt idx="1">
                  <c:v>0</c:v>
                </c:pt>
                <c:pt idx="2">
                  <c:v>0</c:v>
                </c:pt>
                <c:pt idx="3">
                  <c:v>2.1</c:v>
                </c:pt>
                <c:pt idx="4">
                  <c:v>25.5</c:v>
                </c:pt>
                <c:pt idx="5">
                  <c:v>19.100000000000001</c:v>
                </c:pt>
                <c:pt idx="6">
                  <c:v>53.2</c:v>
                </c:pt>
              </c:numCache>
            </c:numRef>
          </c:val>
        </c:ser>
        <c:ser>
          <c:idx val="2"/>
          <c:order val="2"/>
          <c:tx>
            <c:strRef>
              <c:f>Plan1!$D$2</c:f>
              <c:strCache>
                <c:ptCount val="1"/>
                <c:pt idx="0">
                  <c:v>F3</c:v>
                </c:pt>
              </c:strCache>
            </c:strRef>
          </c:tx>
          <c:spPr>
            <a:solidFill>
              <a:schemeClr val="bg1">
                <a:lumMod val="50000"/>
              </a:schemeClr>
            </a:solidFill>
            <a:ln w="12700">
              <a:solidFill>
                <a:schemeClr val="bg1">
                  <a:lumMod val="50000"/>
                </a:schemeClr>
              </a:solidFill>
              <a:prstDash val="solid"/>
            </a:ln>
          </c:spPr>
          <c:val>
            <c:numRef>
              <c:f>Plan1!$D$3:$D$9</c:f>
              <c:numCache>
                <c:formatCode>General</c:formatCode>
                <c:ptCount val="7"/>
                <c:pt idx="0">
                  <c:v>0</c:v>
                </c:pt>
                <c:pt idx="1">
                  <c:v>0</c:v>
                </c:pt>
                <c:pt idx="2">
                  <c:v>0</c:v>
                </c:pt>
                <c:pt idx="3">
                  <c:v>2.1</c:v>
                </c:pt>
                <c:pt idx="4">
                  <c:v>22.9</c:v>
                </c:pt>
                <c:pt idx="5">
                  <c:v>20.8</c:v>
                </c:pt>
                <c:pt idx="6">
                  <c:v>54.2</c:v>
                </c:pt>
              </c:numCache>
            </c:numRef>
          </c:val>
        </c:ser>
        <c:ser>
          <c:idx val="3"/>
          <c:order val="3"/>
          <c:tx>
            <c:strRef>
              <c:f>Plan1!$E$2</c:f>
              <c:strCache>
                <c:ptCount val="1"/>
                <c:pt idx="0">
                  <c:v>F4</c:v>
                </c:pt>
              </c:strCache>
            </c:strRef>
          </c:tx>
          <c:spPr>
            <a:solidFill>
              <a:schemeClr val="tx1">
                <a:lumMod val="65000"/>
                <a:lumOff val="35000"/>
              </a:schemeClr>
            </a:solidFill>
            <a:ln w="12700">
              <a:solidFill>
                <a:schemeClr val="tx1">
                  <a:lumMod val="65000"/>
                  <a:lumOff val="35000"/>
                </a:schemeClr>
              </a:solidFill>
              <a:prstDash val="solid"/>
            </a:ln>
          </c:spPr>
          <c:val>
            <c:numRef>
              <c:f>Plan1!$E$3:$E$9</c:f>
              <c:numCache>
                <c:formatCode>General</c:formatCode>
                <c:ptCount val="7"/>
                <c:pt idx="0">
                  <c:v>0</c:v>
                </c:pt>
                <c:pt idx="1">
                  <c:v>0</c:v>
                </c:pt>
                <c:pt idx="2">
                  <c:v>0</c:v>
                </c:pt>
                <c:pt idx="3">
                  <c:v>4.2</c:v>
                </c:pt>
                <c:pt idx="4">
                  <c:v>16.7</c:v>
                </c:pt>
                <c:pt idx="5">
                  <c:v>33.300000000000004</c:v>
                </c:pt>
                <c:pt idx="6">
                  <c:v>45.8</c:v>
                </c:pt>
              </c:numCache>
            </c:numRef>
          </c:val>
        </c:ser>
        <c:ser>
          <c:idx val="4"/>
          <c:order val="4"/>
          <c:tx>
            <c:strRef>
              <c:f>Plan1!$F$2</c:f>
              <c:strCache>
                <c:ptCount val="1"/>
                <c:pt idx="0">
                  <c:v>F5</c:v>
                </c:pt>
              </c:strCache>
            </c:strRef>
          </c:tx>
          <c:spPr>
            <a:solidFill>
              <a:schemeClr val="tx1">
                <a:lumMod val="95000"/>
                <a:lumOff val="5000"/>
              </a:schemeClr>
            </a:solidFill>
            <a:ln>
              <a:solidFill>
                <a:schemeClr val="tx1">
                  <a:lumMod val="95000"/>
                  <a:lumOff val="5000"/>
                </a:schemeClr>
              </a:solidFill>
            </a:ln>
          </c:spPr>
          <c:val>
            <c:numRef>
              <c:f>Plan1!$F$3:$F$9</c:f>
              <c:numCache>
                <c:formatCode>General</c:formatCode>
                <c:ptCount val="7"/>
                <c:pt idx="0">
                  <c:v>0</c:v>
                </c:pt>
                <c:pt idx="1">
                  <c:v>1.9000000000000001</c:v>
                </c:pt>
                <c:pt idx="2">
                  <c:v>3.8</c:v>
                </c:pt>
                <c:pt idx="3">
                  <c:v>18.899999999999999</c:v>
                </c:pt>
                <c:pt idx="4">
                  <c:v>7.5</c:v>
                </c:pt>
                <c:pt idx="5">
                  <c:v>39.6</c:v>
                </c:pt>
                <c:pt idx="6">
                  <c:v>28.3</c:v>
                </c:pt>
              </c:numCache>
            </c:numRef>
          </c:val>
        </c:ser>
        <c:axId val="53883648"/>
        <c:axId val="53885184"/>
      </c:barChart>
      <c:catAx>
        <c:axId val="53883648"/>
        <c:scaling>
          <c:orientation val="minMax"/>
        </c:scaling>
        <c:axPos val="b"/>
        <c:numFmt formatCode="General" sourceLinked="1"/>
        <c:tickLblPos val="nextTo"/>
        <c:crossAx val="53885184"/>
        <c:crosses val="autoZero"/>
        <c:auto val="1"/>
        <c:lblAlgn val="ctr"/>
        <c:lblOffset val="100"/>
      </c:catAx>
      <c:valAx>
        <c:axId val="53885184"/>
        <c:scaling>
          <c:orientation val="minMax"/>
        </c:scaling>
        <c:axPos val="l"/>
        <c:majorGridlines/>
        <c:title>
          <c:tx>
            <c:rich>
              <a:bodyPr rot="-5400000" vert="horz"/>
              <a:lstStyle/>
              <a:p>
                <a:pPr>
                  <a:defRPr/>
                </a:pPr>
                <a:r>
                  <a:rPr lang="pt-BR"/>
                  <a:t>(%) </a:t>
                </a:r>
              </a:p>
            </c:rich>
          </c:tx>
          <c:layout>
            <c:manualLayout>
              <c:xMode val="edge"/>
              <c:yMode val="edge"/>
              <c:x val="2.8410728464571256E-2"/>
              <c:y val="0.30499491723829947"/>
            </c:manualLayout>
          </c:layout>
          <c:spPr>
            <a:noFill/>
            <a:ln w="25400">
              <a:noFill/>
            </a:ln>
          </c:spPr>
        </c:title>
        <c:numFmt formatCode="General" sourceLinked="1"/>
        <c:tickLblPos val="nextTo"/>
        <c:crossAx val="53883648"/>
        <c:crosses val="autoZero"/>
        <c:crossBetween val="between"/>
      </c:valAx>
    </c:plotArea>
    <c:legend>
      <c:legendPos val="r"/>
      <c:layout>
        <c:manualLayout>
          <c:xMode val="edge"/>
          <c:yMode val="edge"/>
          <c:x val="0.86149373395065287"/>
          <c:y val="0.22107812202435387"/>
          <c:w val="9.2592870335653471E-2"/>
          <c:h val="0.35079574606327879"/>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Aroma scores</a:t>
            </a:r>
          </a:p>
        </c:rich>
      </c:tx>
      <c:layout>
        <c:manualLayout>
          <c:xMode val="edge"/>
          <c:yMode val="edge"/>
          <c:x val="0.40765529312240939"/>
          <c:y val="0.9045477795039083"/>
        </c:manualLayout>
      </c:layout>
      <c:spPr>
        <a:noFill/>
        <a:ln w="25400">
          <a:noFill/>
        </a:ln>
      </c:spPr>
    </c:title>
    <c:plotArea>
      <c:layout>
        <c:manualLayout>
          <c:layoutTarget val="inner"/>
          <c:xMode val="edge"/>
          <c:yMode val="edge"/>
          <c:x val="0.15604529702142178"/>
          <c:y val="9.1737037037037034E-2"/>
          <c:w val="0.67444380714756891"/>
          <c:h val="0.66689444444445256"/>
        </c:manualLayout>
      </c:layout>
      <c:barChart>
        <c:barDir val="col"/>
        <c:grouping val="clustered"/>
        <c:ser>
          <c:idx val="0"/>
          <c:order val="0"/>
          <c:tx>
            <c:strRef>
              <c:f>Plan1!$B$21</c:f>
              <c:strCache>
                <c:ptCount val="1"/>
                <c:pt idx="0">
                  <c:v>F1</c:v>
                </c:pt>
              </c:strCache>
            </c:strRef>
          </c:tx>
          <c:spPr>
            <a:solidFill>
              <a:schemeClr val="bg1">
                <a:lumMod val="85000"/>
              </a:schemeClr>
            </a:solidFill>
            <a:ln w="12700">
              <a:solidFill>
                <a:schemeClr val="bg1">
                  <a:lumMod val="85000"/>
                </a:schemeClr>
              </a:solidFill>
              <a:prstDash val="solid"/>
            </a:ln>
          </c:spPr>
          <c:val>
            <c:numRef>
              <c:f>Plan1!$B$22:$B$28</c:f>
              <c:numCache>
                <c:formatCode>General</c:formatCode>
                <c:ptCount val="7"/>
                <c:pt idx="0">
                  <c:v>1.9000000000000001</c:v>
                </c:pt>
                <c:pt idx="1">
                  <c:v>0</c:v>
                </c:pt>
                <c:pt idx="2">
                  <c:v>0</c:v>
                </c:pt>
                <c:pt idx="3">
                  <c:v>1.9000000000000001</c:v>
                </c:pt>
                <c:pt idx="4">
                  <c:v>11.3</c:v>
                </c:pt>
                <c:pt idx="5">
                  <c:v>28.3</c:v>
                </c:pt>
                <c:pt idx="6">
                  <c:v>56.6</c:v>
                </c:pt>
              </c:numCache>
            </c:numRef>
          </c:val>
        </c:ser>
        <c:ser>
          <c:idx val="1"/>
          <c:order val="1"/>
          <c:tx>
            <c:strRef>
              <c:f>Plan1!$C$21</c:f>
              <c:strCache>
                <c:ptCount val="1"/>
                <c:pt idx="0">
                  <c:v>F2</c:v>
                </c:pt>
              </c:strCache>
            </c:strRef>
          </c:tx>
          <c:spPr>
            <a:solidFill>
              <a:schemeClr val="bg1">
                <a:lumMod val="75000"/>
              </a:schemeClr>
            </a:solidFill>
            <a:ln w="12700">
              <a:solidFill>
                <a:schemeClr val="bg1">
                  <a:lumMod val="75000"/>
                </a:schemeClr>
              </a:solidFill>
              <a:prstDash val="solid"/>
            </a:ln>
          </c:spPr>
          <c:val>
            <c:numRef>
              <c:f>Plan1!$C$22:$C$28</c:f>
              <c:numCache>
                <c:formatCode>General</c:formatCode>
                <c:ptCount val="7"/>
                <c:pt idx="0">
                  <c:v>0</c:v>
                </c:pt>
                <c:pt idx="1">
                  <c:v>0</c:v>
                </c:pt>
                <c:pt idx="2">
                  <c:v>0</c:v>
                </c:pt>
                <c:pt idx="3">
                  <c:v>9.4</c:v>
                </c:pt>
                <c:pt idx="4">
                  <c:v>15.1</c:v>
                </c:pt>
                <c:pt idx="5">
                  <c:v>22.6</c:v>
                </c:pt>
                <c:pt idx="6">
                  <c:v>52.8</c:v>
                </c:pt>
              </c:numCache>
            </c:numRef>
          </c:val>
        </c:ser>
        <c:ser>
          <c:idx val="2"/>
          <c:order val="2"/>
          <c:tx>
            <c:strRef>
              <c:f>Plan1!$D$21</c:f>
              <c:strCache>
                <c:ptCount val="1"/>
                <c:pt idx="0">
                  <c:v>F3</c:v>
                </c:pt>
              </c:strCache>
            </c:strRef>
          </c:tx>
          <c:spPr>
            <a:solidFill>
              <a:schemeClr val="bg1">
                <a:lumMod val="50000"/>
              </a:schemeClr>
            </a:solidFill>
            <a:ln w="12700">
              <a:solidFill>
                <a:schemeClr val="bg1">
                  <a:lumMod val="50000"/>
                </a:schemeClr>
              </a:solidFill>
              <a:prstDash val="solid"/>
            </a:ln>
          </c:spPr>
          <c:val>
            <c:numRef>
              <c:f>Plan1!$D$22:$D$28</c:f>
              <c:numCache>
                <c:formatCode>General</c:formatCode>
                <c:ptCount val="7"/>
                <c:pt idx="0">
                  <c:v>0</c:v>
                </c:pt>
                <c:pt idx="1">
                  <c:v>0</c:v>
                </c:pt>
                <c:pt idx="2">
                  <c:v>1.9000000000000001</c:v>
                </c:pt>
                <c:pt idx="3">
                  <c:v>9.4</c:v>
                </c:pt>
                <c:pt idx="4">
                  <c:v>20.8</c:v>
                </c:pt>
                <c:pt idx="5">
                  <c:v>20.8</c:v>
                </c:pt>
                <c:pt idx="6">
                  <c:v>47.2</c:v>
                </c:pt>
              </c:numCache>
            </c:numRef>
          </c:val>
        </c:ser>
        <c:ser>
          <c:idx val="3"/>
          <c:order val="3"/>
          <c:tx>
            <c:strRef>
              <c:f>Plan1!$E$21</c:f>
              <c:strCache>
                <c:ptCount val="1"/>
                <c:pt idx="0">
                  <c:v>F4</c:v>
                </c:pt>
              </c:strCache>
            </c:strRef>
          </c:tx>
          <c:spPr>
            <a:solidFill>
              <a:schemeClr val="tx1">
                <a:lumMod val="65000"/>
                <a:lumOff val="35000"/>
              </a:schemeClr>
            </a:solidFill>
            <a:ln w="12700">
              <a:solidFill>
                <a:schemeClr val="tx1">
                  <a:lumMod val="65000"/>
                  <a:lumOff val="35000"/>
                </a:schemeClr>
              </a:solidFill>
              <a:prstDash val="solid"/>
            </a:ln>
          </c:spPr>
          <c:val>
            <c:numRef>
              <c:f>Plan1!$E$22:$E$28</c:f>
              <c:numCache>
                <c:formatCode>General</c:formatCode>
                <c:ptCount val="7"/>
                <c:pt idx="0">
                  <c:v>0</c:v>
                </c:pt>
                <c:pt idx="1">
                  <c:v>0</c:v>
                </c:pt>
                <c:pt idx="2">
                  <c:v>0</c:v>
                </c:pt>
                <c:pt idx="3">
                  <c:v>7.5</c:v>
                </c:pt>
                <c:pt idx="4">
                  <c:v>20.8</c:v>
                </c:pt>
                <c:pt idx="5">
                  <c:v>24.5</c:v>
                </c:pt>
                <c:pt idx="6">
                  <c:v>47.2</c:v>
                </c:pt>
              </c:numCache>
            </c:numRef>
          </c:val>
        </c:ser>
        <c:ser>
          <c:idx val="4"/>
          <c:order val="4"/>
          <c:tx>
            <c:strRef>
              <c:f>Plan1!$F$21</c:f>
              <c:strCache>
                <c:ptCount val="1"/>
                <c:pt idx="0">
                  <c:v>F5</c:v>
                </c:pt>
              </c:strCache>
            </c:strRef>
          </c:tx>
          <c:spPr>
            <a:solidFill>
              <a:schemeClr val="tx1"/>
            </a:solidFill>
            <a:ln>
              <a:solidFill>
                <a:schemeClr val="tx1"/>
              </a:solidFill>
            </a:ln>
          </c:spPr>
          <c:val>
            <c:numRef>
              <c:f>Plan1!$F$22:$F$28</c:f>
              <c:numCache>
                <c:formatCode>General</c:formatCode>
                <c:ptCount val="7"/>
                <c:pt idx="0">
                  <c:v>0</c:v>
                </c:pt>
                <c:pt idx="1">
                  <c:v>1.9000000000000001</c:v>
                </c:pt>
                <c:pt idx="2">
                  <c:v>3.8</c:v>
                </c:pt>
                <c:pt idx="3">
                  <c:v>18.899999999999999</c:v>
                </c:pt>
                <c:pt idx="4">
                  <c:v>7.5</c:v>
                </c:pt>
                <c:pt idx="5">
                  <c:v>39.6</c:v>
                </c:pt>
                <c:pt idx="6">
                  <c:v>28.3</c:v>
                </c:pt>
              </c:numCache>
            </c:numRef>
          </c:val>
        </c:ser>
        <c:axId val="53896704"/>
        <c:axId val="53898240"/>
      </c:barChart>
      <c:catAx>
        <c:axId val="53896704"/>
        <c:scaling>
          <c:orientation val="minMax"/>
        </c:scaling>
        <c:axPos val="b"/>
        <c:numFmt formatCode="General" sourceLinked="1"/>
        <c:tickLblPos val="nextTo"/>
        <c:crossAx val="53898240"/>
        <c:crosses val="autoZero"/>
        <c:auto val="1"/>
        <c:lblAlgn val="ctr"/>
        <c:lblOffset val="100"/>
      </c:catAx>
      <c:valAx>
        <c:axId val="53898240"/>
        <c:scaling>
          <c:orientation val="minMax"/>
          <c:max val="70"/>
        </c:scaling>
        <c:axPos val="l"/>
        <c:majorGridlines/>
        <c:title>
          <c:tx>
            <c:rich>
              <a:bodyPr rot="-5400000" vert="horz"/>
              <a:lstStyle/>
              <a:p>
                <a:pPr>
                  <a:defRPr/>
                </a:pPr>
                <a:r>
                  <a:rPr lang="pt-BR"/>
                  <a:t>(%) </a:t>
                </a:r>
              </a:p>
            </c:rich>
          </c:tx>
          <c:layout>
            <c:manualLayout>
              <c:xMode val="edge"/>
              <c:yMode val="edge"/>
              <c:x val="1.7394962103318364E-2"/>
              <c:y val="0.34394903592135018"/>
            </c:manualLayout>
          </c:layout>
          <c:spPr>
            <a:noFill/>
            <a:ln w="25400">
              <a:noFill/>
            </a:ln>
          </c:spPr>
        </c:title>
        <c:numFmt formatCode="General" sourceLinked="1"/>
        <c:tickLblPos val="nextTo"/>
        <c:crossAx val="53896704"/>
        <c:crosses val="autoZero"/>
        <c:crossBetween val="between"/>
      </c:valAx>
    </c:plotArea>
    <c:legend>
      <c:legendPos val="r"/>
      <c:layout>
        <c:manualLayout>
          <c:xMode val="edge"/>
          <c:yMode val="edge"/>
          <c:x val="0.88360010554236257"/>
          <c:y val="0.24954972480159424"/>
          <c:w val="9.2592870335653443E-2"/>
          <c:h val="0.45089007571697148"/>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Taste scores</a:t>
            </a:r>
          </a:p>
        </c:rich>
      </c:tx>
      <c:layout>
        <c:manualLayout>
          <c:xMode val="edge"/>
          <c:yMode val="edge"/>
          <c:x val="0.43236438435953856"/>
          <c:y val="0.89322273120216156"/>
        </c:manualLayout>
      </c:layout>
      <c:spPr>
        <a:noFill/>
        <a:ln w="25400">
          <a:noFill/>
        </a:ln>
      </c:spPr>
    </c:title>
    <c:plotArea>
      <c:layout>
        <c:manualLayout>
          <c:layoutTarget val="inner"/>
          <c:xMode val="edge"/>
          <c:yMode val="edge"/>
          <c:x val="0.17087083333333333"/>
          <c:y val="0.10866919006408994"/>
          <c:w val="0.66456000000000004"/>
          <c:h val="0.64996193571869565"/>
        </c:manualLayout>
      </c:layout>
      <c:barChart>
        <c:barDir val="col"/>
        <c:grouping val="clustered"/>
        <c:ser>
          <c:idx val="0"/>
          <c:order val="0"/>
          <c:tx>
            <c:strRef>
              <c:f>Plan1!$B$21</c:f>
              <c:strCache>
                <c:ptCount val="1"/>
                <c:pt idx="0">
                  <c:v>F1</c:v>
                </c:pt>
              </c:strCache>
            </c:strRef>
          </c:tx>
          <c:spPr>
            <a:solidFill>
              <a:schemeClr val="bg1">
                <a:lumMod val="85000"/>
              </a:schemeClr>
            </a:solidFill>
            <a:ln w="12700">
              <a:solidFill>
                <a:schemeClr val="bg1">
                  <a:lumMod val="85000"/>
                </a:schemeClr>
              </a:solidFill>
              <a:prstDash val="solid"/>
            </a:ln>
          </c:spPr>
          <c:val>
            <c:numRef>
              <c:f>Plan1!$B$36:$B$42</c:f>
              <c:numCache>
                <c:formatCode>General</c:formatCode>
                <c:ptCount val="7"/>
                <c:pt idx="0">
                  <c:v>0</c:v>
                </c:pt>
                <c:pt idx="1">
                  <c:v>0</c:v>
                </c:pt>
                <c:pt idx="2">
                  <c:v>0</c:v>
                </c:pt>
                <c:pt idx="3">
                  <c:v>3.8</c:v>
                </c:pt>
                <c:pt idx="4">
                  <c:v>5.7</c:v>
                </c:pt>
                <c:pt idx="5">
                  <c:v>18.899999999999999</c:v>
                </c:pt>
                <c:pt idx="6">
                  <c:v>71.7</c:v>
                </c:pt>
              </c:numCache>
            </c:numRef>
          </c:val>
        </c:ser>
        <c:ser>
          <c:idx val="1"/>
          <c:order val="1"/>
          <c:tx>
            <c:strRef>
              <c:f>Plan1!$C$21</c:f>
              <c:strCache>
                <c:ptCount val="1"/>
                <c:pt idx="0">
                  <c:v>F2</c:v>
                </c:pt>
              </c:strCache>
            </c:strRef>
          </c:tx>
          <c:spPr>
            <a:solidFill>
              <a:schemeClr val="bg1">
                <a:lumMod val="75000"/>
              </a:schemeClr>
            </a:solidFill>
            <a:ln w="12700">
              <a:solidFill>
                <a:schemeClr val="bg1">
                  <a:lumMod val="75000"/>
                </a:schemeClr>
              </a:solidFill>
              <a:prstDash val="solid"/>
            </a:ln>
          </c:spPr>
          <c:val>
            <c:numRef>
              <c:f>Plan1!$C$36:$C$42</c:f>
              <c:numCache>
                <c:formatCode>General</c:formatCode>
                <c:ptCount val="7"/>
                <c:pt idx="0">
                  <c:v>0</c:v>
                </c:pt>
                <c:pt idx="1">
                  <c:v>0</c:v>
                </c:pt>
                <c:pt idx="2">
                  <c:v>0</c:v>
                </c:pt>
                <c:pt idx="3">
                  <c:v>0</c:v>
                </c:pt>
                <c:pt idx="4">
                  <c:v>23.4</c:v>
                </c:pt>
                <c:pt idx="5">
                  <c:v>23.4</c:v>
                </c:pt>
                <c:pt idx="6">
                  <c:v>53.2</c:v>
                </c:pt>
              </c:numCache>
            </c:numRef>
          </c:val>
        </c:ser>
        <c:ser>
          <c:idx val="2"/>
          <c:order val="2"/>
          <c:tx>
            <c:strRef>
              <c:f>Plan1!$D$21</c:f>
              <c:strCache>
                <c:ptCount val="1"/>
                <c:pt idx="0">
                  <c:v>F3</c:v>
                </c:pt>
              </c:strCache>
            </c:strRef>
          </c:tx>
          <c:spPr>
            <a:solidFill>
              <a:schemeClr val="bg1">
                <a:lumMod val="50000"/>
              </a:schemeClr>
            </a:solidFill>
            <a:ln w="12700">
              <a:solidFill>
                <a:schemeClr val="bg1">
                  <a:lumMod val="50000"/>
                </a:schemeClr>
              </a:solidFill>
              <a:prstDash val="solid"/>
            </a:ln>
          </c:spPr>
          <c:val>
            <c:numRef>
              <c:f>Plan1!$D$36:$D$42</c:f>
              <c:numCache>
                <c:formatCode>General</c:formatCode>
                <c:ptCount val="7"/>
                <c:pt idx="0">
                  <c:v>0</c:v>
                </c:pt>
                <c:pt idx="1">
                  <c:v>0</c:v>
                </c:pt>
                <c:pt idx="2">
                  <c:v>2.1</c:v>
                </c:pt>
                <c:pt idx="3">
                  <c:v>4.3</c:v>
                </c:pt>
                <c:pt idx="4">
                  <c:v>12.8</c:v>
                </c:pt>
                <c:pt idx="5">
                  <c:v>23.4</c:v>
                </c:pt>
                <c:pt idx="6">
                  <c:v>57.4</c:v>
                </c:pt>
              </c:numCache>
            </c:numRef>
          </c:val>
        </c:ser>
        <c:ser>
          <c:idx val="3"/>
          <c:order val="3"/>
          <c:tx>
            <c:strRef>
              <c:f>Plan1!$E$21</c:f>
              <c:strCache>
                <c:ptCount val="1"/>
                <c:pt idx="0">
                  <c:v>F4</c:v>
                </c:pt>
              </c:strCache>
            </c:strRef>
          </c:tx>
          <c:spPr>
            <a:solidFill>
              <a:schemeClr val="tx1">
                <a:lumMod val="65000"/>
                <a:lumOff val="35000"/>
              </a:schemeClr>
            </a:solidFill>
            <a:ln w="12700">
              <a:solidFill>
                <a:schemeClr val="tx1">
                  <a:lumMod val="65000"/>
                  <a:lumOff val="35000"/>
                </a:schemeClr>
              </a:solidFill>
              <a:prstDash val="solid"/>
            </a:ln>
          </c:spPr>
          <c:val>
            <c:numRef>
              <c:f>Plan1!$E$36:$E$42</c:f>
              <c:numCache>
                <c:formatCode>General</c:formatCode>
                <c:ptCount val="7"/>
                <c:pt idx="0">
                  <c:v>0</c:v>
                </c:pt>
                <c:pt idx="1">
                  <c:v>0</c:v>
                </c:pt>
                <c:pt idx="2">
                  <c:v>2.1</c:v>
                </c:pt>
                <c:pt idx="3">
                  <c:v>4.3</c:v>
                </c:pt>
                <c:pt idx="4">
                  <c:v>21.3</c:v>
                </c:pt>
                <c:pt idx="5">
                  <c:v>19.100000000000001</c:v>
                </c:pt>
                <c:pt idx="6">
                  <c:v>53.2</c:v>
                </c:pt>
              </c:numCache>
            </c:numRef>
          </c:val>
        </c:ser>
        <c:ser>
          <c:idx val="4"/>
          <c:order val="4"/>
          <c:tx>
            <c:strRef>
              <c:f>Plan1!$F$21</c:f>
              <c:strCache>
                <c:ptCount val="1"/>
                <c:pt idx="0">
                  <c:v>F5</c:v>
                </c:pt>
              </c:strCache>
            </c:strRef>
          </c:tx>
          <c:spPr>
            <a:solidFill>
              <a:schemeClr val="tx1"/>
            </a:solidFill>
            <a:ln>
              <a:solidFill>
                <a:schemeClr val="tx1"/>
              </a:solidFill>
            </a:ln>
          </c:spPr>
          <c:val>
            <c:numRef>
              <c:f>Plan1!$F$36:$F$42</c:f>
              <c:numCache>
                <c:formatCode>General</c:formatCode>
                <c:ptCount val="7"/>
                <c:pt idx="0">
                  <c:v>0</c:v>
                </c:pt>
                <c:pt idx="1">
                  <c:v>2.1</c:v>
                </c:pt>
                <c:pt idx="2">
                  <c:v>4.3</c:v>
                </c:pt>
                <c:pt idx="3">
                  <c:v>10.6</c:v>
                </c:pt>
                <c:pt idx="4">
                  <c:v>12.8</c:v>
                </c:pt>
                <c:pt idx="5">
                  <c:v>14.9</c:v>
                </c:pt>
                <c:pt idx="6">
                  <c:v>55.3</c:v>
                </c:pt>
              </c:numCache>
            </c:numRef>
          </c:val>
        </c:ser>
        <c:axId val="53922048"/>
        <c:axId val="54267904"/>
      </c:barChart>
      <c:catAx>
        <c:axId val="53922048"/>
        <c:scaling>
          <c:orientation val="minMax"/>
        </c:scaling>
        <c:axPos val="b"/>
        <c:numFmt formatCode="General" sourceLinked="1"/>
        <c:tickLblPos val="nextTo"/>
        <c:crossAx val="54267904"/>
        <c:crosses val="autoZero"/>
        <c:auto val="1"/>
        <c:lblAlgn val="ctr"/>
        <c:lblOffset val="100"/>
      </c:catAx>
      <c:valAx>
        <c:axId val="54267904"/>
        <c:scaling>
          <c:orientation val="minMax"/>
          <c:max val="70"/>
        </c:scaling>
        <c:axPos val="l"/>
        <c:majorGridlines/>
        <c:title>
          <c:tx>
            <c:rich>
              <a:bodyPr rot="-5400000" vert="horz"/>
              <a:lstStyle/>
              <a:p>
                <a:pPr>
                  <a:defRPr/>
                </a:pPr>
                <a:r>
                  <a:rPr lang="pt-BR"/>
                  <a:t>(%)</a:t>
                </a:r>
              </a:p>
            </c:rich>
          </c:tx>
          <c:layout>
            <c:manualLayout>
              <c:xMode val="edge"/>
              <c:yMode val="edge"/>
              <c:x val="4.3509988980019815E-2"/>
              <c:y val="0.35082135204794762"/>
            </c:manualLayout>
          </c:layout>
          <c:spPr>
            <a:noFill/>
            <a:ln w="25400">
              <a:noFill/>
            </a:ln>
          </c:spPr>
        </c:title>
        <c:numFmt formatCode="General" sourceLinked="1"/>
        <c:tickLblPos val="nextTo"/>
        <c:crossAx val="53922048"/>
        <c:crosses val="autoZero"/>
        <c:crossBetween val="between"/>
      </c:valAx>
    </c:plotArea>
    <c:legend>
      <c:legendPos val="r"/>
      <c:layout>
        <c:manualLayout>
          <c:xMode val="edge"/>
          <c:yMode val="edge"/>
          <c:x val="0.88360010326578065"/>
          <c:y val="0.25646032502390881"/>
          <c:w val="9.2592870335653443E-2"/>
          <c:h val="0.46937125273482888"/>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style val="1"/>
  <c:chart>
    <c:title>
      <c:tx>
        <c:rich>
          <a:bodyPr/>
          <a:lstStyle/>
          <a:p>
            <a:pPr>
              <a:defRPr sz="700"/>
            </a:pPr>
            <a:r>
              <a:rPr lang="pt-BR" sz="700"/>
              <a:t>Texture scores</a:t>
            </a:r>
          </a:p>
        </c:rich>
      </c:tx>
      <c:layout>
        <c:manualLayout>
          <c:xMode val="edge"/>
          <c:yMode val="edge"/>
          <c:x val="0.44545824817357549"/>
          <c:y val="0.89370329340127574"/>
        </c:manualLayout>
      </c:layout>
      <c:spPr>
        <a:noFill/>
        <a:ln w="25400">
          <a:noFill/>
        </a:ln>
      </c:spPr>
    </c:title>
    <c:plotArea>
      <c:layout>
        <c:manualLayout>
          <c:layoutTarget val="inner"/>
          <c:xMode val="edge"/>
          <c:yMode val="edge"/>
          <c:x val="0.21595800046202379"/>
          <c:y val="5.0440860792287365E-2"/>
          <c:w val="0.65070567650241773"/>
          <c:h val="0.70231107684091709"/>
        </c:manualLayout>
      </c:layout>
      <c:barChart>
        <c:barDir val="col"/>
        <c:grouping val="clustered"/>
        <c:ser>
          <c:idx val="0"/>
          <c:order val="0"/>
          <c:tx>
            <c:strRef>
              <c:f>Plan1!$B$47</c:f>
              <c:strCache>
                <c:ptCount val="1"/>
                <c:pt idx="0">
                  <c:v>F1</c:v>
                </c:pt>
              </c:strCache>
            </c:strRef>
          </c:tx>
          <c:spPr>
            <a:solidFill>
              <a:schemeClr val="bg1">
                <a:lumMod val="85000"/>
              </a:schemeClr>
            </a:solidFill>
            <a:ln w="25400">
              <a:solidFill>
                <a:schemeClr val="bg1">
                  <a:lumMod val="85000"/>
                </a:schemeClr>
              </a:solidFill>
            </a:ln>
          </c:spPr>
          <c:val>
            <c:numRef>
              <c:f>Plan1!$B$48:$B$54</c:f>
              <c:numCache>
                <c:formatCode>General</c:formatCode>
                <c:ptCount val="7"/>
                <c:pt idx="0">
                  <c:v>0</c:v>
                </c:pt>
                <c:pt idx="1">
                  <c:v>0</c:v>
                </c:pt>
                <c:pt idx="2">
                  <c:v>0</c:v>
                </c:pt>
                <c:pt idx="3">
                  <c:v>6.3</c:v>
                </c:pt>
                <c:pt idx="4">
                  <c:v>14.6</c:v>
                </c:pt>
                <c:pt idx="5">
                  <c:v>22.9</c:v>
                </c:pt>
                <c:pt idx="6">
                  <c:v>56.3</c:v>
                </c:pt>
              </c:numCache>
            </c:numRef>
          </c:val>
        </c:ser>
        <c:ser>
          <c:idx val="1"/>
          <c:order val="1"/>
          <c:tx>
            <c:strRef>
              <c:f>Plan1!$C$47</c:f>
              <c:strCache>
                <c:ptCount val="1"/>
                <c:pt idx="0">
                  <c:v>F2</c:v>
                </c:pt>
              </c:strCache>
            </c:strRef>
          </c:tx>
          <c:spPr>
            <a:solidFill>
              <a:schemeClr val="bg1">
                <a:lumMod val="75000"/>
              </a:schemeClr>
            </a:solidFill>
            <a:ln w="12700">
              <a:solidFill>
                <a:schemeClr val="bg1">
                  <a:lumMod val="75000"/>
                </a:schemeClr>
              </a:solidFill>
              <a:prstDash val="solid"/>
            </a:ln>
          </c:spPr>
          <c:val>
            <c:numRef>
              <c:f>Plan1!$C$48:$C$54</c:f>
              <c:numCache>
                <c:formatCode>General</c:formatCode>
                <c:ptCount val="7"/>
                <c:pt idx="0">
                  <c:v>0</c:v>
                </c:pt>
                <c:pt idx="1">
                  <c:v>0</c:v>
                </c:pt>
                <c:pt idx="2">
                  <c:v>0</c:v>
                </c:pt>
                <c:pt idx="3">
                  <c:v>10.4</c:v>
                </c:pt>
                <c:pt idx="4">
                  <c:v>16.7</c:v>
                </c:pt>
                <c:pt idx="5">
                  <c:v>20.8</c:v>
                </c:pt>
                <c:pt idx="6">
                  <c:v>52.1</c:v>
                </c:pt>
              </c:numCache>
            </c:numRef>
          </c:val>
        </c:ser>
        <c:ser>
          <c:idx val="2"/>
          <c:order val="2"/>
          <c:tx>
            <c:strRef>
              <c:f>Plan1!$D$47</c:f>
              <c:strCache>
                <c:ptCount val="1"/>
                <c:pt idx="0">
                  <c:v>F3</c:v>
                </c:pt>
              </c:strCache>
            </c:strRef>
          </c:tx>
          <c:spPr>
            <a:solidFill>
              <a:schemeClr val="bg1">
                <a:lumMod val="50000"/>
              </a:schemeClr>
            </a:solidFill>
            <a:ln w="12700">
              <a:solidFill>
                <a:schemeClr val="bg1">
                  <a:lumMod val="50000"/>
                </a:schemeClr>
              </a:solidFill>
              <a:prstDash val="solid"/>
            </a:ln>
          </c:spPr>
          <c:val>
            <c:numRef>
              <c:f>Plan1!$D$48:$D$54</c:f>
              <c:numCache>
                <c:formatCode>General</c:formatCode>
                <c:ptCount val="7"/>
                <c:pt idx="0">
                  <c:v>0</c:v>
                </c:pt>
                <c:pt idx="1">
                  <c:v>0</c:v>
                </c:pt>
                <c:pt idx="2">
                  <c:v>2.1</c:v>
                </c:pt>
                <c:pt idx="3">
                  <c:v>6.3</c:v>
                </c:pt>
                <c:pt idx="4">
                  <c:v>18.8</c:v>
                </c:pt>
                <c:pt idx="5">
                  <c:v>14.6</c:v>
                </c:pt>
                <c:pt idx="6">
                  <c:v>58.3</c:v>
                </c:pt>
              </c:numCache>
            </c:numRef>
          </c:val>
        </c:ser>
        <c:ser>
          <c:idx val="3"/>
          <c:order val="3"/>
          <c:tx>
            <c:strRef>
              <c:f>Plan1!$E$47</c:f>
              <c:strCache>
                <c:ptCount val="1"/>
                <c:pt idx="0">
                  <c:v>F4</c:v>
                </c:pt>
              </c:strCache>
            </c:strRef>
          </c:tx>
          <c:spPr>
            <a:solidFill>
              <a:schemeClr val="tx1">
                <a:lumMod val="65000"/>
                <a:lumOff val="35000"/>
              </a:schemeClr>
            </a:solidFill>
            <a:ln w="12700">
              <a:solidFill>
                <a:schemeClr val="tx1">
                  <a:lumMod val="65000"/>
                  <a:lumOff val="35000"/>
                </a:schemeClr>
              </a:solidFill>
              <a:prstDash val="solid"/>
            </a:ln>
          </c:spPr>
          <c:val>
            <c:numRef>
              <c:f>Plan1!$E$48:$E$54</c:f>
              <c:numCache>
                <c:formatCode>General</c:formatCode>
                <c:ptCount val="7"/>
                <c:pt idx="0">
                  <c:v>0</c:v>
                </c:pt>
                <c:pt idx="1">
                  <c:v>0</c:v>
                </c:pt>
                <c:pt idx="2">
                  <c:v>4.2</c:v>
                </c:pt>
                <c:pt idx="3">
                  <c:v>4.2</c:v>
                </c:pt>
                <c:pt idx="4">
                  <c:v>22.9</c:v>
                </c:pt>
                <c:pt idx="5">
                  <c:v>25</c:v>
                </c:pt>
                <c:pt idx="6">
                  <c:v>43.8</c:v>
                </c:pt>
              </c:numCache>
            </c:numRef>
          </c:val>
        </c:ser>
        <c:ser>
          <c:idx val="4"/>
          <c:order val="4"/>
          <c:tx>
            <c:strRef>
              <c:f>Plan1!$F$47</c:f>
              <c:strCache>
                <c:ptCount val="1"/>
                <c:pt idx="0">
                  <c:v>F5</c:v>
                </c:pt>
              </c:strCache>
            </c:strRef>
          </c:tx>
          <c:spPr>
            <a:solidFill>
              <a:schemeClr val="tx1"/>
            </a:solidFill>
            <a:ln>
              <a:solidFill>
                <a:schemeClr val="tx1"/>
              </a:solidFill>
            </a:ln>
          </c:spPr>
          <c:val>
            <c:numRef>
              <c:f>Plan1!$F$48:$F$54</c:f>
              <c:numCache>
                <c:formatCode>General</c:formatCode>
                <c:ptCount val="7"/>
                <c:pt idx="0">
                  <c:v>0</c:v>
                </c:pt>
                <c:pt idx="1">
                  <c:v>0</c:v>
                </c:pt>
                <c:pt idx="2">
                  <c:v>2.1</c:v>
                </c:pt>
                <c:pt idx="3">
                  <c:v>14.6</c:v>
                </c:pt>
                <c:pt idx="4">
                  <c:v>20.8</c:v>
                </c:pt>
                <c:pt idx="5">
                  <c:v>20.8</c:v>
                </c:pt>
                <c:pt idx="6">
                  <c:v>41.7</c:v>
                </c:pt>
              </c:numCache>
            </c:numRef>
          </c:val>
        </c:ser>
        <c:axId val="54287360"/>
        <c:axId val="54301440"/>
      </c:barChart>
      <c:catAx>
        <c:axId val="54287360"/>
        <c:scaling>
          <c:orientation val="minMax"/>
        </c:scaling>
        <c:axPos val="b"/>
        <c:numFmt formatCode="General" sourceLinked="1"/>
        <c:tickLblPos val="nextTo"/>
        <c:crossAx val="54301440"/>
        <c:crosses val="autoZero"/>
        <c:auto val="1"/>
        <c:lblAlgn val="ctr"/>
        <c:lblOffset val="100"/>
      </c:catAx>
      <c:valAx>
        <c:axId val="54301440"/>
        <c:scaling>
          <c:orientation val="minMax"/>
          <c:max val="70"/>
        </c:scaling>
        <c:axPos val="l"/>
        <c:majorGridlines/>
        <c:title>
          <c:tx>
            <c:rich>
              <a:bodyPr rot="-5400000" vert="horz"/>
              <a:lstStyle/>
              <a:p>
                <a:pPr>
                  <a:defRPr/>
                </a:pPr>
                <a:r>
                  <a:rPr lang="pt-BR"/>
                  <a:t>(%)</a:t>
                </a:r>
              </a:p>
            </c:rich>
          </c:tx>
          <c:layout>
            <c:manualLayout>
              <c:xMode val="edge"/>
              <c:yMode val="edge"/>
              <c:x val="7.9008785579183824E-2"/>
              <c:y val="0.33102799659498339"/>
            </c:manualLayout>
          </c:layout>
          <c:spPr>
            <a:noFill/>
            <a:ln w="25400">
              <a:noFill/>
            </a:ln>
          </c:spPr>
        </c:title>
        <c:numFmt formatCode="General" sourceLinked="1"/>
        <c:tickLblPos val="nextTo"/>
        <c:crossAx val="54287360"/>
        <c:crosses val="autoZero"/>
        <c:crossBetween val="between"/>
        <c:majorUnit val="10"/>
      </c:valAx>
    </c:plotArea>
    <c:legend>
      <c:legendPos val="r"/>
      <c:layout>
        <c:manualLayout>
          <c:xMode val="edge"/>
          <c:yMode val="edge"/>
          <c:x val="0.90110768467786351"/>
          <c:y val="0.21003685982460391"/>
          <c:w val="9.2592870335653443E-2"/>
          <c:h val="0.42432441665336385"/>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t-BR"/>
  <c:style val="1"/>
  <c:chart>
    <c:plotArea>
      <c:layout>
        <c:manualLayout>
          <c:layoutTarget val="inner"/>
          <c:xMode val="edge"/>
          <c:yMode val="edge"/>
          <c:x val="0.17573928258967764"/>
          <c:y val="0.10225225885844492"/>
          <c:w val="0.63129520268300554"/>
          <c:h val="0.65875538466256434"/>
        </c:manualLayout>
      </c:layout>
      <c:barChart>
        <c:barDir val="col"/>
        <c:grouping val="clustered"/>
        <c:ser>
          <c:idx val="0"/>
          <c:order val="0"/>
          <c:tx>
            <c:v>F1</c:v>
          </c:tx>
          <c:spPr>
            <a:solidFill>
              <a:schemeClr val="bg1">
                <a:lumMod val="85000"/>
              </a:schemeClr>
            </a:solidFill>
            <a:ln>
              <a:solidFill>
                <a:schemeClr val="bg1">
                  <a:lumMod val="85000"/>
                </a:schemeClr>
              </a:solidFill>
            </a:ln>
          </c:spPr>
          <c:val>
            <c:numRef>
              <c:f>Plan1!$B$61:$B$67</c:f>
              <c:numCache>
                <c:formatCode>General</c:formatCode>
                <c:ptCount val="7"/>
                <c:pt idx="0">
                  <c:v>0</c:v>
                </c:pt>
                <c:pt idx="1">
                  <c:v>0</c:v>
                </c:pt>
                <c:pt idx="2">
                  <c:v>1.9000000000000001</c:v>
                </c:pt>
                <c:pt idx="3">
                  <c:v>7.5</c:v>
                </c:pt>
                <c:pt idx="4">
                  <c:v>11.3</c:v>
                </c:pt>
                <c:pt idx="5">
                  <c:v>18.899999999999999</c:v>
                </c:pt>
                <c:pt idx="6">
                  <c:v>60.4</c:v>
                </c:pt>
              </c:numCache>
            </c:numRef>
          </c:val>
        </c:ser>
        <c:ser>
          <c:idx val="1"/>
          <c:order val="1"/>
          <c:tx>
            <c:v>F2</c:v>
          </c:tx>
          <c:spPr>
            <a:solidFill>
              <a:schemeClr val="bg1">
                <a:lumMod val="75000"/>
              </a:schemeClr>
            </a:solidFill>
            <a:ln>
              <a:solidFill>
                <a:schemeClr val="bg1">
                  <a:lumMod val="75000"/>
                </a:schemeClr>
              </a:solidFill>
            </a:ln>
          </c:spPr>
          <c:val>
            <c:numRef>
              <c:f>Plan1!$C$61:$C$67</c:f>
              <c:numCache>
                <c:formatCode>General</c:formatCode>
                <c:ptCount val="7"/>
                <c:pt idx="0">
                  <c:v>0</c:v>
                </c:pt>
                <c:pt idx="1">
                  <c:v>0</c:v>
                </c:pt>
                <c:pt idx="2">
                  <c:v>0</c:v>
                </c:pt>
                <c:pt idx="3">
                  <c:v>6.3</c:v>
                </c:pt>
                <c:pt idx="4">
                  <c:v>10.4</c:v>
                </c:pt>
                <c:pt idx="5">
                  <c:v>35.4</c:v>
                </c:pt>
                <c:pt idx="6">
                  <c:v>47.9</c:v>
                </c:pt>
              </c:numCache>
            </c:numRef>
          </c:val>
        </c:ser>
        <c:ser>
          <c:idx val="2"/>
          <c:order val="2"/>
          <c:tx>
            <c:v>F3</c:v>
          </c:tx>
          <c:spPr>
            <a:solidFill>
              <a:schemeClr val="bg1">
                <a:lumMod val="50000"/>
              </a:schemeClr>
            </a:solidFill>
            <a:ln>
              <a:solidFill>
                <a:schemeClr val="bg1">
                  <a:lumMod val="50000"/>
                </a:schemeClr>
              </a:solidFill>
            </a:ln>
          </c:spPr>
          <c:val>
            <c:numRef>
              <c:f>Plan1!$D$61:$D$67</c:f>
              <c:numCache>
                <c:formatCode>General</c:formatCode>
                <c:ptCount val="7"/>
                <c:pt idx="0">
                  <c:v>0</c:v>
                </c:pt>
                <c:pt idx="1">
                  <c:v>0</c:v>
                </c:pt>
                <c:pt idx="2">
                  <c:v>2.1</c:v>
                </c:pt>
                <c:pt idx="3">
                  <c:v>6.3</c:v>
                </c:pt>
                <c:pt idx="4">
                  <c:v>14.6</c:v>
                </c:pt>
                <c:pt idx="5">
                  <c:v>22.9</c:v>
                </c:pt>
                <c:pt idx="6">
                  <c:v>54.2</c:v>
                </c:pt>
              </c:numCache>
            </c:numRef>
          </c:val>
        </c:ser>
        <c:ser>
          <c:idx val="3"/>
          <c:order val="3"/>
          <c:tx>
            <c:v>F4</c:v>
          </c:tx>
          <c:spPr>
            <a:solidFill>
              <a:schemeClr val="tx1">
                <a:lumMod val="65000"/>
                <a:lumOff val="35000"/>
              </a:schemeClr>
            </a:solidFill>
            <a:ln>
              <a:solidFill>
                <a:schemeClr val="tx1">
                  <a:lumMod val="65000"/>
                  <a:lumOff val="35000"/>
                </a:schemeClr>
              </a:solidFill>
            </a:ln>
          </c:spPr>
          <c:val>
            <c:numRef>
              <c:f>Plan1!$E$61:$E$67</c:f>
              <c:numCache>
                <c:formatCode>General</c:formatCode>
                <c:ptCount val="7"/>
                <c:pt idx="0">
                  <c:v>0</c:v>
                </c:pt>
                <c:pt idx="1">
                  <c:v>0</c:v>
                </c:pt>
                <c:pt idx="2">
                  <c:v>0</c:v>
                </c:pt>
                <c:pt idx="3">
                  <c:v>6.3</c:v>
                </c:pt>
                <c:pt idx="4">
                  <c:v>27.1</c:v>
                </c:pt>
                <c:pt idx="5">
                  <c:v>25</c:v>
                </c:pt>
                <c:pt idx="6">
                  <c:v>41.7</c:v>
                </c:pt>
              </c:numCache>
            </c:numRef>
          </c:val>
        </c:ser>
        <c:ser>
          <c:idx val="4"/>
          <c:order val="4"/>
          <c:tx>
            <c:v>F5</c:v>
          </c:tx>
          <c:spPr>
            <a:solidFill>
              <a:schemeClr val="tx1"/>
            </a:solidFill>
            <a:ln>
              <a:solidFill>
                <a:schemeClr val="tx1"/>
              </a:solidFill>
            </a:ln>
          </c:spPr>
          <c:val>
            <c:numRef>
              <c:f>Plan1!$F$61:$F$67</c:f>
              <c:numCache>
                <c:formatCode>General</c:formatCode>
                <c:ptCount val="7"/>
                <c:pt idx="0">
                  <c:v>0</c:v>
                </c:pt>
                <c:pt idx="1">
                  <c:v>0</c:v>
                </c:pt>
                <c:pt idx="2">
                  <c:v>2.1</c:v>
                </c:pt>
                <c:pt idx="3">
                  <c:v>10.4</c:v>
                </c:pt>
                <c:pt idx="4">
                  <c:v>16.7</c:v>
                </c:pt>
                <c:pt idx="5">
                  <c:v>29.2</c:v>
                </c:pt>
                <c:pt idx="6">
                  <c:v>41.7</c:v>
                </c:pt>
              </c:numCache>
            </c:numRef>
          </c:val>
        </c:ser>
        <c:axId val="54345728"/>
        <c:axId val="54347648"/>
      </c:barChart>
      <c:catAx>
        <c:axId val="54345728"/>
        <c:scaling>
          <c:orientation val="minMax"/>
        </c:scaling>
        <c:axPos val="b"/>
        <c:title>
          <c:tx>
            <c:rich>
              <a:bodyPr/>
              <a:lstStyle/>
              <a:p>
                <a:pPr algn="ctr" rtl="0">
                  <a:defRPr/>
                </a:pPr>
                <a:r>
                  <a:rPr lang="pt-BR"/>
                  <a:t>Color scores</a:t>
                </a:r>
              </a:p>
            </c:rich>
          </c:tx>
          <c:layout>
            <c:manualLayout>
              <c:xMode val="edge"/>
              <c:yMode val="edge"/>
              <c:x val="0.4322685185185185"/>
              <c:y val="0.89923498127450652"/>
            </c:manualLayout>
          </c:layout>
        </c:title>
        <c:numFmt formatCode="General" sourceLinked="1"/>
        <c:tickLblPos val="nextTo"/>
        <c:crossAx val="54347648"/>
        <c:crosses val="autoZero"/>
        <c:auto val="1"/>
        <c:lblAlgn val="ctr"/>
        <c:lblOffset val="100"/>
      </c:catAx>
      <c:valAx>
        <c:axId val="54347648"/>
        <c:scaling>
          <c:orientation val="minMax"/>
          <c:max val="70"/>
        </c:scaling>
        <c:axPos val="l"/>
        <c:majorGridlines/>
        <c:title>
          <c:tx>
            <c:rich>
              <a:bodyPr rot="-5400000" vert="horz"/>
              <a:lstStyle/>
              <a:p>
                <a:pPr algn="ctr" rtl="0">
                  <a:defRPr/>
                </a:pPr>
                <a:r>
                  <a:rPr lang="pt-BR"/>
                  <a:t>(%) </a:t>
                </a:r>
              </a:p>
            </c:rich>
          </c:tx>
          <c:layout>
            <c:manualLayout>
              <c:xMode val="edge"/>
              <c:yMode val="edge"/>
              <c:x val="5.5885826771653546E-2"/>
              <c:y val="0.33278181233976323"/>
            </c:manualLayout>
          </c:layout>
        </c:title>
        <c:numFmt formatCode="General" sourceLinked="1"/>
        <c:tickLblPos val="nextTo"/>
        <c:crossAx val="54345728"/>
        <c:crosses val="autoZero"/>
        <c:crossBetween val="between"/>
      </c:valAx>
    </c:plotArea>
    <c:legend>
      <c:legendPos val="r"/>
      <c:layout>
        <c:manualLayout>
          <c:xMode val="edge"/>
          <c:yMode val="edge"/>
          <c:x val="0.85713619130941954"/>
          <c:y val="0.24536795694136596"/>
          <c:w val="9.0946704578594342E-2"/>
          <c:h val="0.45718222722159735"/>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BR"/>
  <c:style val="1"/>
  <c:chart>
    <c:plotArea>
      <c:layout>
        <c:manualLayout>
          <c:layoutTarget val="inner"/>
          <c:xMode val="edge"/>
          <c:yMode val="edge"/>
          <c:x val="0.15061395676055958"/>
          <c:y val="7.407407407407407E-2"/>
          <c:w val="0.75391530697838571"/>
          <c:h val="0.75445975503062113"/>
        </c:manualLayout>
      </c:layout>
      <c:barChart>
        <c:barDir val="col"/>
        <c:grouping val="clustered"/>
        <c:ser>
          <c:idx val="0"/>
          <c:order val="0"/>
          <c:tx>
            <c:strRef>
              <c:f>aceitabilidade!$F$4</c:f>
              <c:strCache>
                <c:ptCount val="1"/>
                <c:pt idx="0">
                  <c:v>F1</c:v>
                </c:pt>
              </c:strCache>
            </c:strRef>
          </c:tx>
          <c:spPr>
            <a:solidFill>
              <a:schemeClr val="bg1">
                <a:lumMod val="85000"/>
              </a:schemeClr>
            </a:solidFill>
          </c:spPr>
          <c:cat>
            <c:strRef>
              <c:f>aceitabilidade!$G$3:$K$3</c:f>
              <c:strCache>
                <c:ptCount val="5"/>
                <c:pt idx="0">
                  <c:v>Appearance</c:v>
                </c:pt>
                <c:pt idx="1">
                  <c:v>Aroma</c:v>
                </c:pt>
                <c:pt idx="2">
                  <c:v>Taste</c:v>
                </c:pt>
                <c:pt idx="3">
                  <c:v>Texture</c:v>
                </c:pt>
                <c:pt idx="4">
                  <c:v>Color</c:v>
                </c:pt>
              </c:strCache>
            </c:strRef>
          </c:cat>
          <c:val>
            <c:numRef>
              <c:f>aceitabilidade!$G$4:$K$4</c:f>
              <c:numCache>
                <c:formatCode>0.00</c:formatCode>
                <c:ptCount val="5"/>
                <c:pt idx="0">
                  <c:v>90.43</c:v>
                </c:pt>
                <c:pt idx="1">
                  <c:v>90.29</c:v>
                </c:pt>
                <c:pt idx="2">
                  <c:v>94</c:v>
                </c:pt>
                <c:pt idx="3">
                  <c:v>89.86</c:v>
                </c:pt>
                <c:pt idx="4">
                  <c:v>89.710000000000022</c:v>
                </c:pt>
              </c:numCache>
            </c:numRef>
          </c:val>
        </c:ser>
        <c:ser>
          <c:idx val="1"/>
          <c:order val="1"/>
          <c:tx>
            <c:strRef>
              <c:f>aceitabilidade!$F$5</c:f>
              <c:strCache>
                <c:ptCount val="1"/>
                <c:pt idx="0">
                  <c:v>F2</c:v>
                </c:pt>
              </c:strCache>
            </c:strRef>
          </c:tx>
          <c:cat>
            <c:strRef>
              <c:f>aceitabilidade!$G$3:$K$3</c:f>
              <c:strCache>
                <c:ptCount val="5"/>
                <c:pt idx="0">
                  <c:v>Appearance</c:v>
                </c:pt>
                <c:pt idx="1">
                  <c:v>Aroma</c:v>
                </c:pt>
                <c:pt idx="2">
                  <c:v>Taste</c:v>
                </c:pt>
                <c:pt idx="3">
                  <c:v>Texture</c:v>
                </c:pt>
                <c:pt idx="4">
                  <c:v>Color</c:v>
                </c:pt>
              </c:strCache>
            </c:strRef>
          </c:cat>
          <c:val>
            <c:numRef>
              <c:f>aceitabilidade!$G$5:$K$5</c:f>
              <c:numCache>
                <c:formatCode>0.00</c:formatCode>
                <c:ptCount val="5"/>
                <c:pt idx="0">
                  <c:v>89</c:v>
                </c:pt>
                <c:pt idx="1">
                  <c:v>88.29</c:v>
                </c:pt>
                <c:pt idx="2">
                  <c:v>89.86</c:v>
                </c:pt>
                <c:pt idx="3">
                  <c:v>87.710000000000022</c:v>
                </c:pt>
                <c:pt idx="4">
                  <c:v>89.29</c:v>
                </c:pt>
              </c:numCache>
            </c:numRef>
          </c:val>
        </c:ser>
        <c:ser>
          <c:idx val="2"/>
          <c:order val="2"/>
          <c:tx>
            <c:strRef>
              <c:f>aceitabilidade!$F$6</c:f>
              <c:strCache>
                <c:ptCount val="1"/>
                <c:pt idx="0">
                  <c:v>F3</c:v>
                </c:pt>
              </c:strCache>
            </c:strRef>
          </c:tx>
          <c:cat>
            <c:strRef>
              <c:f>aceitabilidade!$G$3:$K$3</c:f>
              <c:strCache>
                <c:ptCount val="5"/>
                <c:pt idx="0">
                  <c:v>Appearance</c:v>
                </c:pt>
                <c:pt idx="1">
                  <c:v>Aroma</c:v>
                </c:pt>
                <c:pt idx="2">
                  <c:v>Taste</c:v>
                </c:pt>
                <c:pt idx="3">
                  <c:v>Texture</c:v>
                </c:pt>
                <c:pt idx="4">
                  <c:v>Color</c:v>
                </c:pt>
              </c:strCache>
            </c:strRef>
          </c:cat>
          <c:val>
            <c:numRef>
              <c:f>aceitabilidade!$G$6:$K$6</c:f>
              <c:numCache>
                <c:formatCode>0.00</c:formatCode>
                <c:ptCount val="5"/>
                <c:pt idx="0">
                  <c:v>89.57</c:v>
                </c:pt>
                <c:pt idx="1">
                  <c:v>85.86</c:v>
                </c:pt>
                <c:pt idx="2">
                  <c:v>89.86</c:v>
                </c:pt>
                <c:pt idx="3">
                  <c:v>88.57</c:v>
                </c:pt>
                <c:pt idx="4">
                  <c:v>88.57</c:v>
                </c:pt>
              </c:numCache>
            </c:numRef>
          </c:val>
        </c:ser>
        <c:ser>
          <c:idx val="3"/>
          <c:order val="3"/>
          <c:tx>
            <c:strRef>
              <c:f>aceitabilidade!$F$7</c:f>
              <c:strCache>
                <c:ptCount val="1"/>
                <c:pt idx="0">
                  <c:v>F4</c:v>
                </c:pt>
              </c:strCache>
            </c:strRef>
          </c:tx>
          <c:cat>
            <c:strRef>
              <c:f>aceitabilidade!$G$3:$K$3</c:f>
              <c:strCache>
                <c:ptCount val="5"/>
                <c:pt idx="0">
                  <c:v>Appearance</c:v>
                </c:pt>
                <c:pt idx="1">
                  <c:v>Aroma</c:v>
                </c:pt>
                <c:pt idx="2">
                  <c:v>Taste</c:v>
                </c:pt>
                <c:pt idx="3">
                  <c:v>Texture</c:v>
                </c:pt>
                <c:pt idx="4">
                  <c:v>Color</c:v>
                </c:pt>
              </c:strCache>
            </c:strRef>
          </c:cat>
          <c:val>
            <c:numRef>
              <c:f>aceitabilidade!$G$7:$K$7</c:f>
              <c:numCache>
                <c:formatCode>0.00</c:formatCode>
                <c:ptCount val="5"/>
                <c:pt idx="0">
                  <c:v>88.57</c:v>
                </c:pt>
                <c:pt idx="1">
                  <c:v>87.29</c:v>
                </c:pt>
                <c:pt idx="2">
                  <c:v>89.86</c:v>
                </c:pt>
                <c:pt idx="3">
                  <c:v>85.710000000000022</c:v>
                </c:pt>
                <c:pt idx="4">
                  <c:v>86</c:v>
                </c:pt>
              </c:numCache>
            </c:numRef>
          </c:val>
        </c:ser>
        <c:ser>
          <c:idx val="4"/>
          <c:order val="4"/>
          <c:tx>
            <c:strRef>
              <c:f>aceitabilidade!$F$8</c:f>
              <c:strCache>
                <c:ptCount val="1"/>
                <c:pt idx="0">
                  <c:v>F5</c:v>
                </c:pt>
              </c:strCache>
            </c:strRef>
          </c:tx>
          <c:spPr>
            <a:solidFill>
              <a:schemeClr val="tx1"/>
            </a:solidFill>
          </c:spPr>
          <c:cat>
            <c:strRef>
              <c:f>aceitabilidade!$G$3:$K$3</c:f>
              <c:strCache>
                <c:ptCount val="5"/>
                <c:pt idx="0">
                  <c:v>Appearance</c:v>
                </c:pt>
                <c:pt idx="1">
                  <c:v>Aroma</c:v>
                </c:pt>
                <c:pt idx="2">
                  <c:v>Taste</c:v>
                </c:pt>
                <c:pt idx="3">
                  <c:v>Texture</c:v>
                </c:pt>
                <c:pt idx="4">
                  <c:v>Color</c:v>
                </c:pt>
              </c:strCache>
            </c:strRef>
          </c:cat>
          <c:val>
            <c:numRef>
              <c:f>aceitabilidade!$G$8:$K$8</c:f>
              <c:numCache>
                <c:formatCode>0.00</c:formatCode>
                <c:ptCount val="5"/>
                <c:pt idx="0">
                  <c:v>80.569999999999993</c:v>
                </c:pt>
                <c:pt idx="1">
                  <c:v>88.57</c:v>
                </c:pt>
                <c:pt idx="2">
                  <c:v>85.51</c:v>
                </c:pt>
                <c:pt idx="3">
                  <c:v>83.57</c:v>
                </c:pt>
                <c:pt idx="4">
                  <c:v>85.29</c:v>
                </c:pt>
              </c:numCache>
            </c:numRef>
          </c:val>
        </c:ser>
        <c:axId val="54477568"/>
        <c:axId val="54479104"/>
      </c:barChart>
      <c:catAx>
        <c:axId val="54477568"/>
        <c:scaling>
          <c:orientation val="minMax"/>
        </c:scaling>
        <c:axPos val="b"/>
        <c:numFmt formatCode="General" sourceLinked="1"/>
        <c:tickLblPos val="nextTo"/>
        <c:crossAx val="54479104"/>
        <c:crosses val="autoZero"/>
        <c:auto val="1"/>
        <c:lblAlgn val="ctr"/>
        <c:lblOffset val="100"/>
      </c:catAx>
      <c:valAx>
        <c:axId val="54479104"/>
        <c:scaling>
          <c:orientation val="minMax"/>
          <c:max val="100"/>
          <c:min val="10"/>
        </c:scaling>
        <c:axPos val="l"/>
        <c:majorGridlines/>
        <c:numFmt formatCode="0" sourceLinked="0"/>
        <c:tickLblPos val="nextTo"/>
        <c:crossAx val="54477568"/>
        <c:crosses val="autoZero"/>
        <c:crossBetween val="between"/>
        <c:majorUnit val="10"/>
      </c:valAx>
      <c:spPr>
        <a:ln>
          <a:noFill/>
        </a:ln>
      </c:spPr>
    </c:plotArea>
    <c:legend>
      <c:legendPos val="r"/>
    </c:legend>
    <c:plotVisOnly val="1"/>
    <c:dispBlanksAs val="gap"/>
  </c:chart>
  <c:spPr>
    <a:ln>
      <a:noFill/>
    </a:ln>
  </c:spPr>
  <c:txPr>
    <a:bodyPr/>
    <a:lstStyle/>
    <a:p>
      <a:pPr>
        <a:defRPr sz="800">
          <a:latin typeface="Times New Roman" pitchFamily="18" charset="0"/>
          <a:cs typeface="Times New Roman" pitchFamily="18" charset="0"/>
        </a:defRPr>
      </a:pPr>
      <a:endParaRPr lang="pt-BR"/>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0.0125</cdr:x>
      <cdr:y>0.57986</cdr:y>
    </cdr:from>
    <cdr:to>
      <cdr:x>0.2125</cdr:x>
      <cdr:y>0.91319</cdr:y>
    </cdr:to>
    <cdr:sp macro="" textlink="">
      <cdr:nvSpPr>
        <cdr:cNvPr id="2" name="CaixaDeTexto 1"/>
        <cdr:cNvSpPr txBox="1"/>
      </cdr:nvSpPr>
      <cdr:spPr>
        <a:xfrm xmlns:a="http://schemas.openxmlformats.org/drawingml/2006/main" rot="16200000">
          <a:off x="57150" y="1590675"/>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pt-BR" sz="1100"/>
        </a:p>
      </cdr:txBody>
    </cdr:sp>
  </cdr:relSizeAnchor>
  <cdr:relSizeAnchor xmlns:cdr="http://schemas.openxmlformats.org/drawingml/2006/chartDrawing">
    <cdr:from>
      <cdr:x>0.04327</cdr:x>
      <cdr:y>0.40598</cdr:y>
    </cdr:from>
    <cdr:to>
      <cdr:x>0.09444</cdr:x>
      <cdr:y>0.53424</cdr:y>
    </cdr:to>
    <cdr:sp macro="" textlink="">
      <cdr:nvSpPr>
        <cdr:cNvPr id="3" name="CaixaDeTexto 2"/>
        <cdr:cNvSpPr txBox="1"/>
      </cdr:nvSpPr>
      <cdr:spPr>
        <a:xfrm xmlns:a="http://schemas.openxmlformats.org/drawingml/2006/main" rot="16200000">
          <a:off x="142158" y="1171400"/>
          <a:ext cx="351842" cy="23641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pt-BR" sz="800" b="1">
              <a:latin typeface="Times New Roman" pitchFamily="18" charset="0"/>
              <a:cs typeface="Times New Roman" pitchFamily="18" charset="0"/>
            </a:rPr>
            <a:t>(%)</a:t>
          </a:r>
        </a:p>
      </cdr:txBody>
    </cdr:sp>
  </cdr:relSizeAnchor>
</c:userShape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14</Pages>
  <Words>4452</Words>
  <Characters>24041</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Adição de inulina em pães saborizados: Composição físico-química e aceitação sensorial entre escolares</vt:lpstr>
    </vt:vector>
  </TitlesOfParts>
  <Company/>
  <LinksUpToDate>false</LinksUpToDate>
  <CharactersWithSpaces>28437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Adição de inulina em pães saborizados: Composição físico-química e aceitação sensorial entre escolares</dc:title>
  <dc:creator>Jaqueline</dc:creator>
  <cp:lastModifiedBy>Usuario</cp:lastModifiedBy>
  <cp:revision>28</cp:revision>
  <dcterms:created xsi:type="dcterms:W3CDTF">2013-06-08T00:25:00Z</dcterms:created>
  <dcterms:modified xsi:type="dcterms:W3CDTF">2013-06-08T02:07:00Z</dcterms:modified>
</cp:coreProperties>
</file>