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092" w:rsidRPr="00756A2F" w:rsidRDefault="00A20092" w:rsidP="00A20092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</w:pPr>
      <w:r w:rsidRPr="005C64B4"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  <w:t>Cuadro 3</w:t>
      </w:r>
      <w:r>
        <w:rPr>
          <w:rFonts w:ascii="Times New Roman" w:eastAsia="Times New Roman" w:hAnsi="Times New Roman" w:cs="Times New Roman"/>
          <w:b/>
          <w:sz w:val="24"/>
          <w:szCs w:val="24"/>
          <w:lang w:val="es-ES" w:eastAsia="es-AR"/>
        </w:rPr>
        <w:t xml:space="preserve"> -</w:t>
      </w:r>
      <w:r w:rsidRPr="00756A2F"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  <w:t xml:space="preserve"> Probabilidad de presencia de nidos de </w:t>
      </w:r>
      <w:proofErr w:type="spellStart"/>
      <w:r w:rsidRPr="00756A2F">
        <w:rPr>
          <w:rFonts w:ascii="Times New Roman" w:eastAsia="Times New Roman" w:hAnsi="Times New Roman" w:cs="Times New Roman"/>
          <w:i/>
          <w:sz w:val="24"/>
          <w:szCs w:val="24"/>
          <w:lang w:val="es-ES" w:eastAsia="es-AR"/>
        </w:rPr>
        <w:t>Atta</w:t>
      </w:r>
      <w:proofErr w:type="spellEnd"/>
      <w:r w:rsidRPr="00756A2F">
        <w:rPr>
          <w:rFonts w:ascii="Times New Roman" w:eastAsia="Times New Roman" w:hAnsi="Times New Roman" w:cs="Times New Roman"/>
          <w:i/>
          <w:sz w:val="24"/>
          <w:szCs w:val="24"/>
          <w:lang w:val="es-ES" w:eastAsia="es-AR"/>
        </w:rPr>
        <w:t xml:space="preserve"> </w:t>
      </w:r>
      <w:proofErr w:type="spellStart"/>
      <w:r w:rsidRPr="00756A2F">
        <w:rPr>
          <w:rFonts w:ascii="Times New Roman" w:eastAsia="Times New Roman" w:hAnsi="Times New Roman" w:cs="Times New Roman"/>
          <w:i/>
          <w:sz w:val="24"/>
          <w:szCs w:val="24"/>
          <w:lang w:val="es-ES" w:eastAsia="es-AR"/>
        </w:rPr>
        <w:t>vollenweideri</w:t>
      </w:r>
      <w:proofErr w:type="spellEnd"/>
      <w:r w:rsidRPr="00756A2F">
        <w:rPr>
          <w:rFonts w:ascii="Times New Roman" w:eastAsia="Times New Roman" w:hAnsi="Times New Roman" w:cs="Times New Roman"/>
          <w:i/>
          <w:sz w:val="24"/>
          <w:szCs w:val="24"/>
          <w:lang w:val="es-ES" w:eastAsia="es-AR"/>
        </w:rPr>
        <w:t xml:space="preserve">, </w:t>
      </w:r>
      <w:proofErr w:type="spellStart"/>
      <w:r w:rsidRPr="00756A2F"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  <w:t>Forel</w:t>
      </w:r>
      <w:proofErr w:type="spellEnd"/>
      <w:r w:rsidRPr="00756A2F">
        <w:rPr>
          <w:rFonts w:ascii="Times New Roman" w:eastAsia="Times New Roman" w:hAnsi="Times New Roman" w:cs="Times New Roman"/>
          <w:sz w:val="24"/>
          <w:szCs w:val="24"/>
          <w:lang w:val="es-ES" w:eastAsia="es-AR"/>
        </w:rPr>
        <w:t xml:space="preserve"> en los departamentos de la provincia de Entre Ríos.</w:t>
      </w:r>
    </w:p>
    <w:tbl>
      <w:tblPr>
        <w:tblStyle w:val="Tablanormal21"/>
        <w:tblW w:w="6141" w:type="dxa"/>
        <w:jc w:val="center"/>
        <w:tblLook w:val="04A0" w:firstRow="1" w:lastRow="0" w:firstColumn="1" w:lastColumn="0" w:noHBand="0" w:noVBand="1"/>
      </w:tblPr>
      <w:tblGrid>
        <w:gridCol w:w="2416"/>
        <w:gridCol w:w="1200"/>
        <w:gridCol w:w="1200"/>
        <w:gridCol w:w="1325"/>
      </w:tblGrid>
      <w:tr w:rsidR="00A20092" w:rsidRPr="00756A2F" w:rsidTr="007A7E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</w:p>
        </w:tc>
        <w:tc>
          <w:tcPr>
            <w:tcW w:w="3725" w:type="dxa"/>
            <w:gridSpan w:val="3"/>
            <w:noWrap/>
            <w:hideMark/>
          </w:tcPr>
          <w:p w:rsidR="00A20092" w:rsidRPr="00756A2F" w:rsidRDefault="00A20092" w:rsidP="007A7E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PROBABILIDAD DE PRESENCIA</w:t>
            </w:r>
          </w:p>
        </w:tc>
      </w:tr>
      <w:tr w:rsidR="00A2009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Departamento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AR"/>
              </w:rPr>
              <w:t>Nula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AR"/>
              </w:rPr>
              <w:t>Baja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s-AR"/>
              </w:rPr>
              <w:t xml:space="preserve">Alta </w:t>
            </w:r>
          </w:p>
        </w:tc>
      </w:tr>
      <w:tr w:rsidR="00A20092" w:rsidRPr="00756A2F" w:rsidTr="007A7ED1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FEDERAL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0,1%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11,2%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88,7%</w:t>
            </w:r>
          </w:p>
        </w:tc>
      </w:tr>
      <w:tr w:rsidR="00A2009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FEDERACION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16,7%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12,7%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70,5%</w:t>
            </w:r>
          </w:p>
        </w:tc>
      </w:tr>
      <w:tr w:rsidR="00A20092" w:rsidRPr="00756A2F" w:rsidTr="007A7ED1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FELICIANO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5,9%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24,4%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69,6%</w:t>
            </w:r>
          </w:p>
        </w:tc>
      </w:tr>
      <w:tr w:rsidR="00A2009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NOGOYA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2,0%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47,7%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50,3%</w:t>
            </w:r>
          </w:p>
        </w:tc>
      </w:tr>
      <w:tr w:rsidR="00A20092" w:rsidRPr="00756A2F" w:rsidTr="007A7ED1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LA PAZ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19,4%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31,3%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49,2%</w:t>
            </w:r>
          </w:p>
        </w:tc>
      </w:tr>
      <w:tr w:rsidR="00A2009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VILLAGUAY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6,6%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49,2%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44,2%</w:t>
            </w:r>
          </w:p>
        </w:tc>
      </w:tr>
      <w:tr w:rsidR="00A20092" w:rsidRPr="00756A2F" w:rsidTr="007A7ED1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CONCORDIA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20,8%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40,3%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38,9%</w:t>
            </w:r>
          </w:p>
        </w:tc>
      </w:tr>
      <w:tr w:rsidR="00A2009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PARANA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37,2%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35,7%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27,1%</w:t>
            </w:r>
          </w:p>
        </w:tc>
      </w:tr>
      <w:tr w:rsidR="00A20092" w:rsidRPr="00756A2F" w:rsidTr="007A7ED1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TALA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0,3%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82,7%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17,1%</w:t>
            </w:r>
          </w:p>
        </w:tc>
      </w:tr>
      <w:tr w:rsidR="00A2009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COLON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24,5%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60,5%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15,0%</w:t>
            </w:r>
          </w:p>
        </w:tc>
      </w:tr>
      <w:tr w:rsidR="00A20092" w:rsidRPr="00756A2F" w:rsidTr="007A7ED1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URUGUAY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32,5%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62,0%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5,5%</w:t>
            </w:r>
          </w:p>
        </w:tc>
      </w:tr>
      <w:tr w:rsidR="00A2009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GUALEGUAYCHU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73,3%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24,7%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2,0%</w:t>
            </w:r>
          </w:p>
        </w:tc>
      </w:tr>
      <w:tr w:rsidR="00A20092" w:rsidRPr="00756A2F" w:rsidTr="007A7ED1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DIAMANTE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62,3%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36,7%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1,0%</w:t>
            </w:r>
          </w:p>
        </w:tc>
      </w:tr>
      <w:tr w:rsidR="00A2009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GUALEGUAY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76,5%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22,6%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0,9%</w:t>
            </w:r>
          </w:p>
        </w:tc>
      </w:tr>
      <w:tr w:rsidR="00A20092" w:rsidRPr="00756A2F" w:rsidTr="007A7ED1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VICTORIA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88,1%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11,3%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0,6%</w:t>
            </w:r>
          </w:p>
        </w:tc>
      </w:tr>
      <w:tr w:rsidR="00A20092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SAN SALVADOR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45,9%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53,5%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0,6%</w:t>
            </w:r>
          </w:p>
        </w:tc>
      </w:tr>
      <w:tr w:rsidR="00A20092" w:rsidRPr="00756A2F" w:rsidTr="007A7ED1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6" w:type="dxa"/>
            <w:noWrap/>
            <w:hideMark/>
          </w:tcPr>
          <w:p w:rsidR="00A20092" w:rsidRPr="00756A2F" w:rsidRDefault="00A20092" w:rsidP="007A7ED1">
            <w:pP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ISLAS DEL IBICUY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99,1%</w:t>
            </w:r>
          </w:p>
        </w:tc>
        <w:tc>
          <w:tcPr>
            <w:tcW w:w="1200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0,9%</w:t>
            </w:r>
          </w:p>
        </w:tc>
        <w:tc>
          <w:tcPr>
            <w:tcW w:w="1325" w:type="dxa"/>
            <w:noWrap/>
            <w:hideMark/>
          </w:tcPr>
          <w:p w:rsidR="00A20092" w:rsidRPr="00756A2F" w:rsidRDefault="00A20092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0,0%</w:t>
            </w:r>
          </w:p>
        </w:tc>
      </w:tr>
    </w:tbl>
    <w:p w:rsidR="008F6929" w:rsidRDefault="008F6929">
      <w:bookmarkStart w:id="0" w:name="_GoBack"/>
      <w:bookmarkEnd w:id="0"/>
    </w:p>
    <w:sectPr w:rsidR="008F69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092"/>
    <w:rsid w:val="008F6929"/>
    <w:rsid w:val="00A2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4767AEC-78B5-47C0-BB21-C18FF8F90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092"/>
    <w:pPr>
      <w:spacing w:after="200" w:line="276" w:lineRule="auto"/>
    </w:pPr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normal21">
    <w:name w:val="Tabla normal 21"/>
    <w:basedOn w:val="Tablanormal"/>
    <w:uiPriority w:val="42"/>
    <w:rsid w:val="00A20092"/>
    <w:pPr>
      <w:spacing w:after="0" w:line="240" w:lineRule="auto"/>
    </w:pPr>
    <w:rPr>
      <w:lang w:val="es-A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</dc:creator>
  <cp:keywords/>
  <dc:description/>
  <cp:lastModifiedBy>Julian</cp:lastModifiedBy>
  <cp:revision>1</cp:revision>
  <dcterms:created xsi:type="dcterms:W3CDTF">2016-02-12T14:32:00Z</dcterms:created>
  <dcterms:modified xsi:type="dcterms:W3CDTF">2016-02-12T14:32:00Z</dcterms:modified>
</cp:coreProperties>
</file>