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630B8" w14:textId="77777777" w:rsidR="00DC7BAA" w:rsidRDefault="000F6EFD" w:rsidP="00FE5724">
      <w:pPr>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RH Conservador:</w:t>
      </w:r>
      <w:r w:rsidR="00DC7BAA">
        <w:rPr>
          <w:rFonts w:ascii="Times New Roman" w:hAnsi="Times New Roman" w:cs="Times New Roman"/>
          <w:b/>
          <w:sz w:val="24"/>
          <w:szCs w:val="24"/>
        </w:rPr>
        <w:t xml:space="preserve"> Um Estudo sobre Mudanças na </w:t>
      </w:r>
      <w:r w:rsidR="000305B2">
        <w:rPr>
          <w:rFonts w:ascii="Times New Roman" w:hAnsi="Times New Roman" w:cs="Times New Roman"/>
          <w:b/>
          <w:sz w:val="24"/>
          <w:szCs w:val="24"/>
        </w:rPr>
        <w:t>Gestão de Pessoas</w:t>
      </w:r>
      <w:r w:rsidR="00DC7BAA">
        <w:rPr>
          <w:rFonts w:ascii="Times New Roman" w:hAnsi="Times New Roman" w:cs="Times New Roman"/>
          <w:b/>
          <w:sz w:val="24"/>
          <w:szCs w:val="24"/>
        </w:rPr>
        <w:t xml:space="preserve"> em Empresas Estabelecidas no Brasil</w:t>
      </w:r>
    </w:p>
    <w:p w14:paraId="6B07D9AF" w14:textId="77777777" w:rsidR="00DC7BAA" w:rsidRPr="003D33FC" w:rsidRDefault="00DC7BAA" w:rsidP="003D33FC">
      <w:pPr>
        <w:jc w:val="both"/>
        <w:rPr>
          <w:rFonts w:ascii="Times New Roman" w:hAnsi="Times New Roman" w:cs="Times New Roman"/>
          <w:b/>
          <w:sz w:val="24"/>
          <w:szCs w:val="24"/>
        </w:rPr>
      </w:pPr>
      <w:r w:rsidRPr="003D33FC">
        <w:rPr>
          <w:rFonts w:ascii="Times New Roman" w:hAnsi="Times New Roman" w:cs="Times New Roman"/>
          <w:b/>
          <w:sz w:val="24"/>
          <w:szCs w:val="24"/>
        </w:rPr>
        <w:t>1. Introdução</w:t>
      </w:r>
    </w:p>
    <w:p w14:paraId="2736FC6C"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 avanço da tecnologia e da globalização vem tornando as mudanças na sociedade e nas organizações cada vez mais impactantes e em intervalos de tempo cada vez menores. Os pesquisadores, tanto no Brasil quanto no exterior, já, há algum tempo, vêm se dedicando a entender como as empresas devem lidar com o cenário atual. Nele, o mundo está se tornando mais integrado e interdependente, com o aumento da competitividade, das incertezas e das ameaças de um ambiente de negócios e de trabalho. As mudanças são cada vez mais rápidas, profundas e intensas, na busca da vantagem competitiva. De fato, segundo Brito e Brito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"de", "family" : "Brito", "given" : "Renata Peregrino", "non-dropping-particle" : "", "parse-names" : false, "suffix" : "" }, { "dropping-particle" : "", "family" : "Brito", "given" : "Luiz Artur Ledur", "non-dropping-particle" : "", "parse-names" : false, "suffix" : "" } ], "container-title" : "RAC \u2013 Revista de Administra\u00e7\u00e3o Contempor\u00e2nea", "id" : "ITEM-1", "issue" : "Maio/Jun. 2012", "issued" : { "date-parts" : [ [ "2012" ] ] }, "page" : "360-380", "title" : "Vantagem Competitiva e sua Rela\u00e7\u00e3o com o Desempenho \u2013 uma Abordagem Baseada em Valor", "type" : "article-journal", "volume" : "16" }, "uris" : [ "http://www.mendeley.com/documents/?uuid=758356f0-f1f5-4627-b72d-fb0138d48c99" ] } ], "mendeley" : { "formattedCitation" : "(BRITO; BRITO, 2012)", "manualFormatting" : "(2012)", "plainTextFormattedCitation" : "(BRITO; BRITO, 2012)", "previouslyFormattedCitation" : "(BRITO; BRITO, 2012)"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(2012)</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a busca por vantagem na competição está presente em boa parte dos estudos sobre estratégia, assim como nas orientações das decisões empresariais. </w:t>
      </w:r>
    </w:p>
    <w:p w14:paraId="037E79CE"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Tendo em vista a compreensão de que os efeitos de tecnologia e mão de obra barata, fontes de vantagem competitiva, não mais se revelam suficientes para proverem uma posição competitiva sustentável, as pessoas e suas competências passaram a ser enfatizadas como elementos de diferenciação estratégica. A gestão de pessoas passa a ter importância ascendente nas organizações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"10.1007/3-540-30763-X_14", "ISBN" : "ISSN~~10000375", "ISSN" : "00178012", "PMID" : "20887720", "abstract" : "In the early 1980s, GTE was positioned to become a major player in the information technology industry. NEC was much smaller and had no experience as an operating telecommunications company. Today NEC is among the top five companies in telecommunications, semiconductors, and mainframes. GTE has become essentially a telephone company with a position in defense and lighting products. What happened? NEC built and nurtured a group of core competencies. GTE, on the other hand, couldn't agree on which competencies to base its strategy. It organized itself around strategic business units, which by nature underinvest in core competencies, imprison resources, and bind innovation. A company's competitiveness derives from its core competencies and core products (the tangible results of core competencies). Core competence is the collective learning in the organization, especially the capacity to coordinate diverse production skills and integrate streams of technologies. It is also a commitment to working across organizational boundaries. Organizing around core competencies requires a radical change in corporate organization. The first step requires identifying core competencies, which meet these three requirements: they provide potential access to a wide variety of markets, make a contribution to the customer benefits of the product, and are difficult for competitors to imitate. The next step is to redesign the architecture of the company and provide an impetus for learning from alliances and a focus for internal development. Management should ask: How long could we preserve our competitiveness if we did not control this core competence? How central is this core competence to customer benefits? What opportunities would be foreclosed if we lost this competence? INSET: Vickers Learns the Value of Stratetic Architecture. ABSTRACT FROM PUBLISHER", "author" : [ { "dropping-particle" : "", "family" : "Prahalad", "given" : "C K", "non-dropping-particle" : "", "parse-names" : false, "suffix" : "" }, { "dropping-particle" : "", "family" : "Hamel", "given" : "Gary", "non-dropping-particle" : "", "parse-names" : false, "suffix" : "" }, { "dropping-particle" : "", "family" : "June", "given" : "M a Y", "non-dropping-particle" : "", "parse-names" : false, "suffix" : "" } ], "container-title" : "Harvard Business Review", "id" : "ITEM-1", "issue" : "3", "issued" : { "date-parts" : [ [ "1990" ] ] }, "page" : "79-91", "title" : "The Core Competence of the Corporation", "type" : "article-journal", "volume" : "68" }, "uris" : [ "http://www.mendeley.com/documents/?uuid=fc84971c-ec11-3204-b95e-38cc198177f9" ] } ], "mendeley" : { "formattedCitation" : "(PRAHALAD; HAMEL; JUNE, 1990)", "plainTextFormattedCitation" : "(PRAHALAD; HAMEL; JUNE, 1990)", "previouslyFormattedCitation" : "(PRAHALAD; HAMEL; JUNE, 1990)"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(PRAHALAD; HAMEL; JUNE, 1990)</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26137AA7"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Modelos estratégicos têm focado, principalmente, em determinantes internos de competitividade, movendo-se do exterior para o interior das organizações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"Hoskisson", "given" : "Robert E", "non-dropping-particle" : "", "parse-names" : false, "suffix" : "" }, { "dropping-particle" : "", "family" : "Hitt", "given" : "Michael A", "non-dropping-particle" : "", "parse-names" : false, "suffix" : "" } ], "container-title" : "Journal of Management", "id" : "ITEM-1", "issue" : "3", "issued" : { "date-parts" : [ [ "1999" ] ] }, "page" : "417-456", "title" : "Management : Swings of a pendulum", "type" : "article-journal", "volume" : "25" }, "uris" : [ "http://www.mendeley.com/documents/?uuid=77fafe53-3d3d-450e-af97-36c96fe6e8cb" ] } ], "mendeley" : { "formattedCitation" : "(HOSKISSON; HITT, 1999)", "plainTextFormattedCitation" : "(HOSKISSON; HITT, 1999)", "previouslyFormattedCitation" : "(HOSKISSON; HITT, 1999)"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(HOSKISSON; HITT, 1999)</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Segundo Fischer (2015), essas mudanças têm produzido também um ajuste da perspectiva na gestão de pessoas, diminuindo o foco na administração das questões burocráticas, para uma orientação mais estratégica. Os modelos de gestão de pessoas, que eram praticamente desconectados do pensamento estratégico, tiveram sua importância aumentada quando recursos intangíveis, como a força de trabalho e as demais questões sociais, passaram a ser vistos como elemento central da estratégia das organizações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"Fischer", "given" : "Andr\u00e9 Luiz", "non-dropping-particle" : "", "parse-names" : false, "suffix" : "" } ], "container-title" : "Dicion\u00e1rio de Psicologia do Trabalho e Organiza\u00e7\u00f5es", "id" : "ITEM-1", "issued" : { "date-parts" : [ [ "2015" ] ] }, "page" : "445-452", "publisher" : "Casa do Psic\u00f3logo", "publisher-place" : "S\u00e3o Paulo", "title" : "Modelo de Gest\u00e3o de Pessoas", "type" : "chapter" }, "uris" : [ "http://www.mendeley.com/documents/?uuid=9bd4eaae-1a5c-43fa-826f-b9f1a522beb8" ] } ], "mendeley" : { "formattedCitation" : "(FISCHER, 2015)", "plainTextFormattedCitation" : "(FISCHER, 2015)", "previouslyFormattedCitation" : "(FISCHER, 2015)"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(FISCHER, 2015)</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w:t>
      </w:r>
    </w:p>
    <w:p w14:paraId="54550F97"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Ao longo do tempo, na medida em que as organizações ficam cada vez mais ágeis e complexas, suas áreas de recursos humanos (RH) vêm tentando acompanhar esse movimento, buscando caminhos para se tornarem mais valiosas, agregando valor às organizações. Segundo Bianchi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"Bianchi", "given" : "Eliane Maria Pires Giavina", "non-dropping-particle" : "", "parse-names" : false, "suffix" : "" } ], "id" : "ITEM-1", "issued" : { "date-parts" : [ [ "2013" ] ] }, "number-of-pages" : "238", "publisher" : "Usiversidade de S\u00e3o Paulo", "publisher-place" : "S\u00e3o Paulo", "title" : "Sentido do trabalho: uma demanda dos profissionais e um desafio para as organiza\u00e7\u00f5es (Tese de doutorado, FEA-USP)", "type" : "thesis" }, "locator" : "8", "uris" : [ "http://www.mendeley.com/documents/?uuid=514df1f3-462d-44fb-b05a-ac33244b9e79" ] } ], "mendeley" : { "formattedCitation" : "(BIANCHI, 2013, p. 8)", "manualFormatting" : "(2013, p. 8)", "plainTextFormattedCitation" : "(BIANCHI, 2013, p. 8)", "previouslyFormattedCitation" : "(BIANCHI, 2013, p. 8)"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(2013, p. 8)</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a complexidade do cenário competitivo e o aumento da velocidade e do impacto das mudanças do ambiente externo vêm afetando variáveis que impactam profundamente a gestão de pessoas nas organizações. Nesse cenário, vêm surgindo demandas anteriormente inexistentes, que carecem da atenção dos pesquisadores e práticos do campo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"10.1002/hrm", "ISBN" : "2137404354", "author" : [ { "dropping-particle" : "", "family" : "Lawler", "given" : "Edward E.", "non-dropping-particle" : "", "parse-names" : false, "suffix" : "" } ], "container-title" : "Human Resource Management", "id" : "ITEM-1", "issue" : "2", "issued" : { "date-parts" : [ [ "2011" ] ] }, "page" : "171-173", "title" : "HR: Time for a reset?", "type" : "article-journal", "volume" : "50" }, "uris" : [ "http://www.mendeley.com/documents/?uuid=0ea3e49c-cfc7-4189-bcd5-cf4921444bfd" ] } ], "mendeley" : { "formattedCitation" : "(LAWLER, 2011)", "plainTextFormattedCitation" : "(LAWLER, 2011)", "previouslyFormattedCitation" : "(LAWLER, 2011)"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(LAWLER, 2011)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5E43F32A"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Barreto </w:t>
      </w:r>
      <w:r w:rsidRPr="002E5394">
        <w:rPr>
          <w:rFonts w:ascii="Times New Roman" w:hAnsi="Times New Roman" w:cs="Times New Roman"/>
          <w:i/>
          <w:sz w:val="24"/>
          <w:szCs w:val="24"/>
        </w:rPr>
        <w:t>et al.</w:t>
      </w:r>
      <w:r w:rsidRPr="002E5394">
        <w:rPr>
          <w:rFonts w:ascii="Times New Roman" w:hAnsi="Times New Roman" w:cs="Times New Roman"/>
          <w:sz w:val="24"/>
          <w:szCs w:val="24"/>
        </w:rPr>
        <w:t xml:space="preserve">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"Barreto", "given" : "Leilianne Michelle Trindade da Silva", "non-dropping-particle" : "", "parse-names" : false, "suffix" : "" }, { "dropping-particle" : "da", "family" : "Silva", "given" : "Maira Patricia", "non-dropping-particle" : "", "parse-names" : false, "suffix" : "" }, { "dropping-particle" : "", "family" : "Fischer", "given" : "Andr\u00e9 Luiz", "non-dropping-particle" : "", "parse-names" : false, "suffix" : "" }, { "dropping-particle" : "", "family" : "Dutra", "given" : "Joel Souza", "non-dropping-particle" : "", "parse-names" : false, "suffix" : "" }, { "dropping-particle" : "", "family" : "Veloso", "given" : "Elza F\u00e1tima Rosa", "non-dropping-particle" : "", "parse-names" : false, "suffix" : "" }, { "dropping-particle" : "de", "family" : "Amorim", "given" : "Wilson Aparecido Costa", "non-dropping-particle" : "", "parse-names" : false, "suffix" : "" } ], "container-title" : "VI Encontro da Divis\u00e3o de Estudos Organizacionais da ANPAD", "id" : "ITEM-1", "issued" : { "date-parts" : [ [ "2010" ] ] }, "publisher" : "ANPAD", "publisher-place" : "Florian\u00f3polis", "title" : "Gest\u00e3o de Pessoas: Projetando Desafios e Tend\u00eancias para 2015", "type" : "paper-conference" }, "uris" : [ "http://www.mendeley.com/documents/?uuid=36c3878b-6a38-492f-b122-c8de0095946d" ] } ], "mendeley" : { "formattedCitation" : "(BARRETO et al., 2010)", "manualFormatting" : "(2010)", "plainTextFormattedCitation" : "(BARRETO et al., 2010)", "previouslyFormattedCitation" : "(BARRETO et al., 2010)"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(2010)</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lembraram que uma das características da gestão de pessoas é sua sujeição a fatores ambientais, sejam eles econômicos, sociais, demográficos ou empresariais. Neste contexto, são necessárias mudanças na gestão de pessoas, que surgem na forma de novas políticas e práticas, procurando garantir a superação de desafios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"Fischer", "given" : "Andr\u00e9 Luiz", "non-dropping-particle" : "", "parse-names" : false, "suffix" : "" } ], "container-title" : "As pessoas na Organiza\u00e7\u00e3o", "editor" : [ { "dropping-particle" : "", "family" : "FLEURY", "given" : "M.T. L.", "non-dropping-particle" : "", "parse-names" : false, "suffix" : "" } ], "id" : "ITEM-1", "issued" : { "date-parts" : [ [ "2002" ] ] }, "page" : "62", "publisher" : "Ed. Gente", "publisher-place" : "S\u00e3o Paulo", "title" : "Um resgate conceitual e hist\u00f3rico dos modelos de gest\u00e3o de pessoas", "type" : "chapter" }, "uris" : [ "http://www.mendeley.com/documents/?uuid=df5e0b67-8dd4-4e0f-9556-7d9ccefeb0c6" ] }, { "id" : "ITEM-2", "itemData" : { "author" : [ { "dropping-particle" : "", "family" : "Wood Jr.", "given" : "Thomaz", "non-dropping-particle" : "", "parse-names" : false, "suffix" : "" } ], "id" : "ITEM-2", "issued" : { "date-parts" : [ [ "2005" ] ] }, "publisher" : "Atlas", "publisher-place" : "S\u00e3o Paulo", "title" : "Mudan\u00e7a Organizacional", "type" : "book" }, "uris" : [ "http://www.mendeley.com/documents/?uuid=241bc19e-b0c2-479f-933a-778a7ecb47a4" ] } ], "mendeley" : { "formattedCitation" : "(FISCHER, 2002; WOOD JR., 2005)", "plainTextFormattedCitation" : "(FISCHER, 2002; WOOD JR., 2005)", "previouslyFormattedCitation" : "(FISCHER, 2002; WOOD JR., 2005)"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(FISCHER, 2002; WOOD JR., 2005)</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A realidade e o futuro da gestão de RH e das pessoas no ambiente de trabalho e o formato do próprio trabalho são temas atuais e relevantes, tanto para os teóricos, quanto para a prática organizacional, buscando a melhor forma de operacionalizar essa função. Tendências em gestão de pessoas remetem à maneira pela qual os profissionais e as organizações pretendem reagir e transformar desafios em oportunidades, seja através de novos modelos, formatos, políticas ou práticas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"Fischer", "given" : "Andr\u00e9 Luiz", "non-dropping-particle" : "", "parse-names" : false, "suffix" : "" }, { "dropping-particle" : "", "family" : "Albuquerque", "given" : "Lindolfo", "non-dropping-particle" : "", "parse-names" : false, "suffix" : "" } ], "container-title" : "XXV Encontro da ANPAD - EnANPAD", "id" : "ITEM-1", "issued" : { "date-parts" : [ [ "2011" ] ] }, "publisher" : "ANPAD", "publisher-place" : "Campinas", "title" : "Tend\u00eancias Que Orientam as Decis\u00f5es dos Formadores de Opini\u00e3o em Gest\u00e3o de Pessoas no Brasil - RH 2010", "type" : "paper-conference" }, "uris" : [ "http://www.mendeley.com/documents/?uuid=effa8ea6-b252-42da-87e4-11c14b03b34b" ] } ], "mendeley" : { "formattedCitation" : "(FISCHER; ALBUQUERQUE, 2011)", "plainTextFormattedCitation" : "(FISCHER; ALBUQUERQUE, 2011)", "previouslyFormattedCitation" : "(FISCHER; ALBUQUERQUE, 2011)"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(FISCHER; ALBUQUERQUE, 2011)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6FD46DE4"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Teóricos e gestores da área preocupam-se com quais mudanças podem contribuir com a administração de recursos humanos (ARH) nas organizações, </w:t>
      </w:r>
      <w:proofErr w:type="gramStart"/>
      <w:r w:rsidRPr="002E5394">
        <w:rPr>
          <w:rFonts w:ascii="Times New Roman" w:hAnsi="Times New Roman" w:cs="Times New Roman"/>
          <w:sz w:val="24"/>
          <w:szCs w:val="24"/>
        </w:rPr>
        <w:t>e também</w:t>
      </w:r>
      <w:proofErr w:type="gramEnd"/>
      <w:r w:rsidRPr="002E5394">
        <w:rPr>
          <w:rFonts w:ascii="Times New Roman" w:hAnsi="Times New Roman" w:cs="Times New Roman"/>
          <w:sz w:val="24"/>
          <w:szCs w:val="24"/>
        </w:rPr>
        <w:t xml:space="preserve"> com a própria contribuição da ARH para com as organizações. Segundo </w:t>
      </w:r>
      <w:proofErr w:type="spellStart"/>
      <w:r w:rsidRPr="002E5394">
        <w:rPr>
          <w:rFonts w:ascii="Times New Roman" w:hAnsi="Times New Roman" w:cs="Times New Roman"/>
          <w:sz w:val="24"/>
          <w:szCs w:val="24"/>
        </w:rPr>
        <w:t>Lawler</w:t>
      </w:r>
      <w:proofErr w:type="spellEnd"/>
      <w:r w:rsidRPr="002E5394">
        <w:rPr>
          <w:rFonts w:ascii="Times New Roman" w:hAnsi="Times New Roman" w:cs="Times New Roman"/>
          <w:sz w:val="24"/>
          <w:szCs w:val="24"/>
        </w:rPr>
        <w:t xml:space="preserve"> (2011) a ARH vem buscando desempenhar um papel mais estratégico nas organizações, mas suas práticas não foram concebidas com isso em mente. Buscando se posicionar melhor, ARH passou por um momento </w:t>
      </w:r>
      <w:r w:rsidRPr="002E5394">
        <w:rPr>
          <w:rFonts w:ascii="Times New Roman" w:hAnsi="Times New Roman" w:cs="Times New Roman"/>
          <w:sz w:val="24"/>
          <w:szCs w:val="24"/>
        </w:rPr>
        <w:lastRenderedPageBreak/>
        <w:t>de “expansão horizontal”, tomando para si novas responsabilidades, na tentativa de justificar sua existência e agregar valor para a organização:</w:t>
      </w:r>
    </w:p>
    <w:p w14:paraId="4388C9A6" w14:textId="77777777" w:rsidR="003D33FC" w:rsidRPr="002E5394" w:rsidRDefault="003D33FC" w:rsidP="002E5394">
      <w:pPr>
        <w:pStyle w:val="Citao"/>
        <w:spacing w:after="120"/>
        <w:ind w:left="2835"/>
        <w:rPr>
          <w:sz w:val="18"/>
          <w:szCs w:val="18"/>
        </w:rPr>
      </w:pPr>
      <w:r w:rsidRPr="002E5394">
        <w:rPr>
          <w:sz w:val="18"/>
          <w:szCs w:val="18"/>
        </w:rPr>
        <w:t xml:space="preserve">“Recentemente, em algumas organizações, a função de RH tornou-se responsável por áreas que tradicionalmente não faziam parte da ARH. Por exemplo, a sustentabilidade tornou-se responsabilidade de alguns vice-presidentes de RH, assim como comunicação, reputação corporativa, relações com a comunidade, </w:t>
      </w:r>
      <w:r w:rsidRPr="002E5394">
        <w:rPr>
          <w:i/>
          <w:sz w:val="18"/>
          <w:szCs w:val="18"/>
        </w:rPr>
        <w:t>design</w:t>
      </w:r>
      <w:r w:rsidRPr="002E5394">
        <w:rPr>
          <w:sz w:val="18"/>
          <w:szCs w:val="18"/>
        </w:rPr>
        <w:t xml:space="preserve"> organizacional e mudança na organização. Contudo, o nome da área não mudou para refletir estas novas responsabilidades” </w:t>
      </w:r>
      <w:r w:rsidRPr="002E5394">
        <w:rPr>
          <w:sz w:val="18"/>
          <w:szCs w:val="18"/>
        </w:rPr>
        <w:fldChar w:fldCharType="begin" w:fldLock="1"/>
      </w:r>
      <w:r w:rsidRPr="002E5394">
        <w:rPr>
          <w:sz w:val="18"/>
          <w:szCs w:val="18"/>
        </w:rPr>
        <w:instrText>ADDIN CSL_CITATION { "citationItems" : [ { "id" : "ITEM-1", "itemData" : { "DOI" : "10.1002/hrm", "ISBN" : "2137404354", "author" : [ { "dropping-particle" : "", "family" : "Lawler", "given" : "Edward E.", "non-dropping-particle" : "", "parse-names" : false, "suffix" : "" } ], "container-title" : "Human Resource Management", "id" : "ITEM-1", "issue" : "2", "issued" : { "date-parts" : [ [ "2011" ] ] }, "page" : "171-173", "title" : "HR: Time for a reset?", "type" : "article-journal", "volume" : "50" }, "suffix" : ", tradu\u00e7\u00e3o nossa", "uris" : [ "http://www.mendeley.com/documents/?uuid=0ea3e49c-cfc7-4189-bcd5-cf4921444bfd" ] } ], "mendeley" : { "formattedCitation" : "(LAWLER, 2011, tradu\u00e7\u00e3o nossa)", "plainTextFormattedCitation" : "(LAWLER, 2011, tradu\u00e7\u00e3o nossa)", "previouslyFormattedCitation" : "(LAWLER, 2011, tradu\u00e7\u00e3o nossa)" }, "properties" : { "noteIndex" : 0 }, "schema" : "https://github.com/citation-style-language/schema/raw/master/csl-citation.json" }</w:instrText>
      </w:r>
      <w:r w:rsidRPr="002E5394">
        <w:rPr>
          <w:sz w:val="18"/>
          <w:szCs w:val="18"/>
        </w:rPr>
        <w:fldChar w:fldCharType="separate"/>
      </w:r>
      <w:r w:rsidRPr="002E5394">
        <w:rPr>
          <w:noProof/>
          <w:sz w:val="18"/>
          <w:szCs w:val="18"/>
        </w:rPr>
        <w:t>(LAWLER, 2011, tradução nossa)</w:t>
      </w:r>
      <w:r w:rsidRPr="002E5394">
        <w:rPr>
          <w:sz w:val="18"/>
          <w:szCs w:val="18"/>
        </w:rPr>
        <w:fldChar w:fldCharType="end"/>
      </w:r>
      <w:r w:rsidRPr="002E5394">
        <w:rPr>
          <w:sz w:val="18"/>
          <w:szCs w:val="18"/>
        </w:rPr>
        <w:t>.</w:t>
      </w:r>
    </w:p>
    <w:p w14:paraId="71ACCF07" w14:textId="77777777" w:rsidR="002E5394"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Na medida em que a ARH, tanto como campo prático da Administração de Empresas quanto área de ensino e pesquisa, observa a necessidade de considerar o contexto, surgem estudos dedicados a verificar as especificidades nacionais e realizando comparativos. Este é o caso de pesquisas como a de </w:t>
      </w:r>
      <w:proofErr w:type="spellStart"/>
      <w:r w:rsidRPr="002E5394">
        <w:rPr>
          <w:rFonts w:ascii="Times New Roman" w:hAnsi="Times New Roman" w:cs="Times New Roman"/>
          <w:sz w:val="24"/>
          <w:szCs w:val="24"/>
        </w:rPr>
        <w:t>Festing</w:t>
      </w:r>
      <w:proofErr w:type="spellEnd"/>
      <w:r w:rsidRPr="002E5394">
        <w:rPr>
          <w:rFonts w:ascii="Times New Roman" w:hAnsi="Times New Roman" w:cs="Times New Roman"/>
          <w:sz w:val="24"/>
          <w:szCs w:val="24"/>
        </w:rPr>
        <w:t xml:space="preserve"> (2012), que comparou práticas na Alemanha e nos Estados Unidos, e a de </w:t>
      </w:r>
      <w:proofErr w:type="spellStart"/>
      <w:r w:rsidRPr="002E5394">
        <w:rPr>
          <w:rFonts w:ascii="Times New Roman" w:hAnsi="Times New Roman" w:cs="Times New Roman"/>
          <w:sz w:val="24"/>
          <w:szCs w:val="24"/>
        </w:rPr>
        <w:t>Kramar</w:t>
      </w:r>
      <w:proofErr w:type="spellEnd"/>
      <w:r w:rsidRPr="002E5394">
        <w:rPr>
          <w:rFonts w:ascii="Times New Roman" w:hAnsi="Times New Roman" w:cs="Times New Roman"/>
          <w:sz w:val="24"/>
          <w:szCs w:val="24"/>
        </w:rPr>
        <w:t xml:space="preserve"> e </w:t>
      </w:r>
      <w:proofErr w:type="spellStart"/>
      <w:r w:rsidRPr="002E5394">
        <w:rPr>
          <w:rFonts w:ascii="Times New Roman" w:hAnsi="Times New Roman" w:cs="Times New Roman"/>
          <w:sz w:val="24"/>
          <w:szCs w:val="24"/>
        </w:rPr>
        <w:t>Parry</w:t>
      </w:r>
      <w:proofErr w:type="spellEnd"/>
      <w:r w:rsidRPr="002E5394">
        <w:rPr>
          <w:rFonts w:ascii="Times New Roman" w:hAnsi="Times New Roman" w:cs="Times New Roman"/>
          <w:sz w:val="24"/>
          <w:szCs w:val="24"/>
        </w:rPr>
        <w:t xml:space="preserve">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"10.1111/1744-7941.12042", "ISBN" : "1038-4111", "ISSN" : "17447941", "abstract" : "This paper examines human resource management (HRM) policies within five countries in the Asia Pacific region - Australia, Japan, New Zealand, Philippines and Taiwan. We examine whether HRM in these countries is similar to the idealised model of strategic HRM, largely developed in the United States of America (USA), or whether HRM in this region has its own characteristics. We also investigate whether there are broad similarities or differences between the HRM policies of these countries. Drawing on data from the Cranet survey of comparative HRM, we found that HR practice within these five countries was indeed similar to strategic HRM, but that there were also important differences, both between Asia Pacific HRM and the general model of strategic HRM and between HRM in the five countries.", "author" : [ { "dropping-particle" : "", "family" : "Kramar", "given" : "Robin", "non-dropping-particle" : "", "parse-names" : false, "suffix" : "" }, { "dropping-particle" : "", "family" : "Parry", "given" : "Emma", "non-dropping-particle" : "", "parse-names" : false, "suffix" : "" } ], "container-title" : "Asia Pacific Journal of Human Resources", "id" : "ITEM-1", "issued" : { "date-parts" : [ [ "2014" ] ] }, "title" : "Strategic human resource management in the Asia Pacific region: Similarities and differences?", "type" : "article-journal" }, "uris" : [ "http://www.mendeley.com/documents/?uuid=da1ff3da-8138-3393-98cd-05ebde30ea68" ] } ], "mendeley" : { "formattedCitation" : "(KRAMAR; PARRY, 2014)", "manualFormatting" : "2014", "plainTextFormattedCitation" : "(KRAMAR; PARRY, 2014)", "previouslyFormattedCitation" : "(KRAMAR; PARRY, 2014)"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2014</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que comparou as dos Estados Unidos com as da Austrália, Japão, Nova Zelândia, Filipinas e Tailândia, encontrando diferenças das práticas destes países não só em relação à norte-americana, mas também entre eles. Especificamente no que tange ao panorama nacional da ARH, um estudo foi apresentado por Wood Júnior, Tonelli e </w:t>
      </w:r>
      <w:proofErr w:type="spellStart"/>
      <w:r w:rsidRPr="002E5394">
        <w:rPr>
          <w:rFonts w:ascii="Times New Roman" w:hAnsi="Times New Roman" w:cs="Times New Roman"/>
          <w:sz w:val="24"/>
          <w:szCs w:val="24"/>
        </w:rPr>
        <w:t>Cooke</w:t>
      </w:r>
      <w:proofErr w:type="spellEnd"/>
      <w:r w:rsidRPr="002E5394">
        <w:rPr>
          <w:rFonts w:ascii="Times New Roman" w:hAnsi="Times New Roman" w:cs="Times New Roman"/>
          <w:sz w:val="24"/>
          <w:szCs w:val="24"/>
        </w:rPr>
        <w:t xml:space="preserve">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"10.1590/S0034-75902011000300004", "author" : [ { "dropping-particle" : "", "family" : "Wood Jr", "given" : "Thomaz", "non-dropping-particle" : "", "parse-names" : false, "suffix" : "" }, { "dropping-particle" : "", "family" : "Tonelli", "given" : "Maria Jos\u00e9", "non-dropping-particle" : "", "parse-names" : false, "suffix" : "" }, { "dropping-particle" : "", "family" : "Cooke", "given" : "Bill", "non-dropping-particle" : "", "parse-names" : false, "suffix" : "" } ], "container-title" : "Revista de Administra\u00e7\u00e3o de Empresas", "id" : "ITEM-1", "issue" : "3", "issued" : { "date-parts" : [ [ "2011" ] ] }, "page" : "232-243", "title" : "Coloniza\u00e7\u00e3o e Neocoloniza\u00e7\u00e3o da Gest\u00e3o de Recursos Humanos no Brasil (1950-2010)", "type" : "article-journal", "volume" : "51" }, "uris" : [ "http://www.mendeley.com/documents/?uuid=b1ed135e-59bb-4874-9458-bf259c2672c0" ] } ], "mendeley" : { "formattedCitation" : "(WOOD JR; TONELLI; COOKE, 2011)", "manualFormatting" : "(2011)", "plainTextFormattedCitation" : "(WOOD JR; TONELLI; COOKE, 2011)", "previouslyFormattedCitation" : "(WOOD JR; TONELLI; COOKE, 2011)"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partindo da década de 1980, denominado pelos autores como neocolonização. Os autores argumentam que, historicamente, a ARH nacional vem tentando acompanhar os movimentos internacionais, tanto por influência das empresas multinacionais quanto das escolas de administração. Segundo os autores, três grandes mudanças vêm marcando a ARH nos últimos tempos: (a) a busca de um melhor alinhamento com os objetivos empresariais; (b) a adoção intensiva de novos modelos e práticas; (c) a adoção de uma nova retórica. Esta retórica é caracterizada pela presença de valores individualistas, relacionados ao sucesso e à excelência, ao culto dos líderes transformacionais e à promoção dos princípios de adaptabilidade, inovação e competitividade. </w:t>
      </w:r>
    </w:p>
    <w:p w14:paraId="0D8F24B3"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 trabalho de Fischer e Albuquerque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"Fischer", "given" : "Andr\u00e9 Luiz", "non-dropping-particle" : "", "parse-names" : false, "suffix" : "" }, { "dropping-particle" : "", "family" : "Albuquerque", "given" : "Lindolfo", "non-dropping-particle" : "", "parse-names" : false, "suffix" : "" } ], "container-title" : "XXV Encontro da ANPAD - EnANPAD", "id" : "ITEM-1", "issued" : { "date-parts" : [ [ "2011" ] ] }, "publisher" : "ANPAD", "publisher-place" : "Campinas", "title" : "Tend\u00eancias Que Orientam as Decis\u00f5es dos Formadores de Opini\u00e3o em Gest\u00e3o de Pessoas no Brasil - RH 2010", "type" : "paper-conference" }, "uris" : [ "http://www.mendeley.com/documents/?uuid=effa8ea6-b252-42da-87e4-11c14b03b34b" ] } ], "mendeley" : { "formattedCitation" : "(FISCHER; ALBUQUERQUE, 2011)", "manualFormatting" : "(2011)", "plainTextFormattedCitation" : "(FISCHER; ALBUQUERQUE, 2011)", "previouslyFormattedCitation" : "(FISCHER; ALBUQUERQUE, 2011)"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(2011)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corrobora essas afirmativas, partindo da perspectiva dos práticos da ARH, apontando que caminha-se para um perfil em que há alinhamento com a estratégia e, consequentemente, com os objetivos empresariais. Isso resultou no aumento do alcance da ARH nas organizações, quanto às mudanças e transformações que energizam novas políticas, processos, atitudes e práticas de gestão de pessoas. Segundo esses pesquisadores, o especialista da área deve ser capaz de lidar com essas contradições e desafios, tornando-se um </w:t>
      </w:r>
      <w:r w:rsidRPr="002E5394">
        <w:rPr>
          <w:rFonts w:ascii="Times New Roman" w:hAnsi="Times New Roman" w:cs="Times New Roman"/>
          <w:i/>
          <w:sz w:val="24"/>
          <w:szCs w:val="24"/>
        </w:rPr>
        <w:t>expert</w:t>
      </w:r>
      <w:r w:rsidRPr="002E5394">
        <w:rPr>
          <w:rFonts w:ascii="Times New Roman" w:hAnsi="Times New Roman" w:cs="Times New Roman"/>
          <w:sz w:val="24"/>
          <w:szCs w:val="24"/>
        </w:rPr>
        <w:t xml:space="preserve"> no negócio da empresa e passando a utilizar instrumentos de trabalho antes pouco conhecidos, como </w:t>
      </w:r>
      <w:r w:rsidRPr="002E5394">
        <w:rPr>
          <w:rFonts w:ascii="Times New Roman" w:hAnsi="Times New Roman" w:cs="Times New Roman"/>
          <w:i/>
          <w:sz w:val="24"/>
          <w:szCs w:val="24"/>
        </w:rPr>
        <w:t>marketing</w:t>
      </w:r>
      <w:r w:rsidRPr="002E5394">
        <w:rPr>
          <w:rFonts w:ascii="Times New Roman" w:hAnsi="Times New Roman" w:cs="Times New Roman"/>
          <w:sz w:val="24"/>
          <w:szCs w:val="24"/>
        </w:rPr>
        <w:t xml:space="preserve"> e estratégia, para que tenha capacidade de promover mudanças culturais e inovando para a efetiva conquista de resultados.</w:t>
      </w:r>
    </w:p>
    <w:p w14:paraId="477FA2E5"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Pesquisa conduzida pela Deloitte </w:t>
      </w:r>
      <w:proofErr w:type="spellStart"/>
      <w:r w:rsidRPr="002E5394">
        <w:rPr>
          <w:rFonts w:ascii="Times New Roman" w:hAnsi="Times New Roman" w:cs="Times New Roman"/>
          <w:sz w:val="24"/>
          <w:szCs w:val="24"/>
        </w:rPr>
        <w:t>Touche</w:t>
      </w:r>
      <w:proofErr w:type="spellEnd"/>
      <w:r w:rsidRPr="002E5394">
        <w:rPr>
          <w:rFonts w:ascii="Times New Roman" w:hAnsi="Times New Roman" w:cs="Times New Roman"/>
          <w:sz w:val="24"/>
          <w:szCs w:val="24"/>
        </w:rPr>
        <w:t xml:space="preserve"> </w:t>
      </w:r>
      <w:proofErr w:type="spellStart"/>
      <w:r w:rsidRPr="002E5394">
        <w:rPr>
          <w:rFonts w:ascii="Times New Roman" w:hAnsi="Times New Roman" w:cs="Times New Roman"/>
          <w:sz w:val="24"/>
          <w:szCs w:val="24"/>
        </w:rPr>
        <w:t>Tohmatsu</w:t>
      </w:r>
      <w:proofErr w:type="spellEnd"/>
      <w:r w:rsidRPr="002E5394">
        <w:rPr>
          <w:rFonts w:ascii="Times New Roman" w:hAnsi="Times New Roman" w:cs="Times New Roman"/>
          <w:sz w:val="24"/>
          <w:szCs w:val="24"/>
        </w:rPr>
        <w:t xml:space="preserve"> (2017), realizada em nível global junto a mais de 10 mil líderes de recursos humanos, em 140 países, revelou que a maior preocupação dos práticos da área diz respeito a como a ARH vai colaborar e, eventualmente, conduzir esse movimento rumo às “organizações do futuro”. Neste RH moderno, a organizações de alto desempenho operam em redes coordenadas por meio da cultura, sistemas de informação e mobilidade de talentos. Essas organizações não têm sua atenção apenas no redesenho da própria organização, mas no desenvolvimento de novos modelos. </w:t>
      </w:r>
    </w:p>
    <w:p w14:paraId="06990A0E"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As organizações, enquanto sistemas abertos, são susceptíveis às variações do ambiente externo e, no Brasil, em face dessas variações, há a necessidade da ARH se adaptar, encontrando soluções para contribuir com a organização em sua busca da sustentabilidade empresarial e da vantagem competitiva. Para auxiliar as organizações na busca destas respostas, pesquisadores brasileiros têm intensificado a produção de trabalhos quanto a possibilidades, configurações, políticas e práticas na gestão de pessoas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"Demo", "given" : "Gisela", "non-dropping-particle" : "", "parse-names" : false, "suffix" : "" }, { "dropping-particle" : "", "family" : "Foga\u00e7a", "given" : "Natasha", "non-dropping-particle" : "", "parse-names" : false, "suffix" : "" }, { "dropping-particle" : "", "family" : "Fernandes", "given" : "Thais", "non-dropping-particle" : "", "parse-names" : false, "suffix" : "" } ], "container-title" : "V Encontro de Gest\u00e3o de Pessoas e Rela\u00e7\u00f5es de Trabalho", "id" : "ITEM-1", "issue" : "V", "issued" : { "date-parts" : [ [ "2015" ] ] }, "page" : "1-15", "title" : "Pol\u00edticas e Pr\u00e1ticas de Gest\u00e3o de Pessoas: Revis\u00e3o Bibliom\u00e9trica da Produ\u00e7\u00e3o Nacional em Peri\u00f3dicos de Primeira Linha e Institucionaliza\u00e7\u00e3o da Pesquisa no Brasil entre 2010 e 2014", "type" : "article-journal" }, "uris" : [ "http://www.mendeley.com/documents/?uuid=281686ea-21e3-4875-9f72-4c9214e280c9" ] } ], "mendeley" : { "formattedCitation" : "(DEMO; FOGA\u00c7A; FERNANDES, 2015)", "plainTextFormattedCitation" : "(DEMO; FOGA\u00c7A; FERNANDES, 2015)", "previouslyFormattedCitation" : "(DEMO; FOGA\u00c7A; FERNANDES, 2015)"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(DEMO; FOGAÇA; FERNANDES, 2015)</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38236CEA" w14:textId="77777777" w:rsidR="003D33FC" w:rsidRPr="002E5394" w:rsidRDefault="003D33FC" w:rsidP="002E5394">
      <w:pPr>
        <w:spacing w:after="120" w:line="240" w:lineRule="auto"/>
        <w:jc w:val="both"/>
        <w:rPr>
          <w:rFonts w:ascii="Times New Roman" w:hAnsi="Times New Roman" w:cs="Times New Roman"/>
          <w:sz w:val="24"/>
          <w:szCs w:val="24"/>
        </w:rPr>
      </w:pPr>
    </w:p>
    <w:p w14:paraId="42161ED4"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lastRenderedPageBreak/>
        <w:t xml:space="preserve">Uma das maneiras de se adentrar nessa problemática é através do recorte da teoria institucional sob a perspectiva sociológica. Segundo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"Tolbert", "given" : "Pamela S.", "non-dropping-particle" : "", "parse-names" : false, "suffix" : "" }, { "dropping-particle" : "", "family" : "Zucker", "given" : "Lynee G.", "non-dropping-particle" : "", "parse-names" : false, "suffix" : "" } ], "container-title" : "Handbook de Estudos Organizacionais", "id" : "ITEM-1", "issued" : { "date-parts" : [ [ "2007" ] ] }, "page" : "194-217", "publisher" : "Atlas", "publisher-place" : "S\u00e3o Paulo", "title" : "A Institucionaliza\u00e7\u00e3o da Teoria Institucional", "type" : "chapter" }, "locator" : "204", "uris" : [ "http://www.mendeley.com/documents/?uuid=4965565d-b7e9-4bb0-875e-683d0f0ea1eb" ] } ], "mendeley" : { "formattedCitation" : "(TOLBERT; ZUCKER, 2007, p. 204)", "manualFormatting" : "Tolbert e Zucker (2007, p. 204)", "plainTextFormattedCitation" : "(TOLBERT; ZUCKER, 2007, p. 204)", "previouslyFormattedCitation" : "(TOLBERT; ZUCKER, 2007, p. 204)"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Tolbert e Zucker (2007, p. 204)</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existe uma consolidada produção a respeito de inovação e mudanças em organizações, que se ampara na teoria institucional, buscando entender, dentre outros fenômenos, os arranjos estruturais e em políticas e procedimentos de uma ou um conjunto de organizações. Segundo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"Caldas", "given" : "M. P.", "non-dropping-particle" : "", "parse-names" : false, "suffix" : "" }, { "dropping-particle" : "", "family" : "Fachin", "given" : "R.", "non-dropping-particle" : "", "parse-names" : false, "suffix" : "" } ], "container-title" : "Teoria das Organiza\u00e7\u00f5es", "editor" : [ { "dropping-particle" : "", "family" : "Caldas", "given" : "M. P.", "non-dropping-particle" : "", "parse-names" : false, "suffix" : "" }, { "dropping-particle" : "", "family" : "Bertero", "given" : "C. O..", "non-dropping-particle" : "", "parse-names" : false, "suffix" : "" } ], "id" : "ITEM-1", "issued" : { "date-parts" : [ [ "2007" ] ] }, "page" : "69-79", "publisher" : "Atlas", "publisher-place" : "S\u00e3o Paulo", "title" : "Paradigma funcionalista: desenvolvimento de teorias e institucionalismo nos anos 1980 e 1990", "type" : "chapter" }, "locator" : "75", "uris" : [ "http://www.mendeley.com/documents/?uuid=0ed00fc2-d927-43f5-891d-0a048c3c9d3b" ] } ], "mendeley" : { "formattedCitation" : "(CALDAS; FACHIN, 2007, p. 75)", "manualFormatting" : "Caldas e Fachin (2007, p. 75)", "plainTextFormattedCitation" : "(CALDAS; FACHIN, 2007, p. 75)", "previouslyFormattedCitation" : "(CALDAS; FACHIN, 2007, p. 75)"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Caldas e Fachin (2007, p. 75)</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exemplos de pesquisas pertinentes nesse campo contemplaram o conceito de isomorfismo e dos mecanismos de mudança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"DiMaggio", "given" : "Paul J .", "non-dropping-particle" : "", "parse-names" : false, "suffix" : "" }, { "dropping-particle" : "", "family" : "Powell", "given" : "Walter W .", "non-dropping-particle" : "", "parse-names" : false, "suffix" : "" } ], "container-title" : "American Sociological Review", "id" : "ITEM-1", "issue" : "2", "issued" : { "date-parts" : [ [ "1983" ] ] }, "page" : "147-160", "title" : "The Iron Cage Revisited : Institutional Isomorphism and Collective Rationality in Organizational Fields", "type" : "article-journal", "volume" : "48" }, "uris" : [ "http://www.mendeley.com/documents/?uuid=dfa17f6a-9158-496d-8df0-edc4fc6e6387" ] } ], "mendeley" : { "formattedCitation" : "(DIMAGGIO; POWELL, 1983)", "plainTextFormattedCitation" : "(DIMAGGIO; POWELL, 1983)", "previouslyFormattedCitation" : "(DIMAGGIO; POWELL, 1983)"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(DIMAGGIO; POWELL, 1983)</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65A99257"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Na medida em que autores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"de", "family" : "Amorim", "given" : "Wilson Aparecido Costa", "non-dropping-particle" : "", "parse-names" : false, "suffix" : "" } ], "id" : "ITEM-1", "issued" : { "date-parts" : [ [ "2007" ] ] }, "number-of-pages" : "430", "publisher" : "Universidade de S\u00e3o Paulo", "publisher-place" : "S\u00e3o Paulo", "title" : "A evolu\u00e7\u00e3o das organiza\u00e7\u00f5es de apoio \u00e0s entidades sindicais brasileiras: um estudo sob a lente da aprendizagem organizacional (Tese de doutorado, FEA-USP)", "type" : "thesis" }, "locator" : "291", "prefix" : "i.e. ", "uris" : [ "http://www.mendeley.com/documents/?uuid=6c99a2f0-7a87-457c-8879-577a32b67800" ] } ], "mendeley" : { "formattedCitation" : "(i.e. AMORIM, 2007, p. 291)", "plainTextFormattedCitation" : "(i.e. AMORIM, 2007, p. 291)", "previouslyFormattedCitation" : "(i.e. AMORIM, 2007, p. 291)"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(i.e. AMORIM, 2007, p. 291)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apontam evidências de que as organizações brasileiras estão mudando em função do contexto, seja de forma estrutural ou por meio das práticas, este trabalho tem interesse em verificar em que proporção estas mudanças estão ocorrendo. A unidade de análise desta tese é constituída por um conjunto de 150 organizações que participaram e foram selecionadas para o periódico “Melhores Empresas para se Trabalhar” das revistas Exame e Você S/A da editora Abril na edição de 2016. Esta edição foi escolhida por ser a mais recente no momento do início da pesquisa empírica. As organizações foram juntadas, classificadas e selecionadas por manterem boas práticas de ARH, por meio de critérios definidos por pesquisadores do PROGEP (Programa de Estudos em Gestão de Pessoas), que é um centro de pesquisa especializado em Gestão de Recursos Humanos ligado à FIA (Fundação Instituto de Administração) e criado por professores originários do Departamento de Administração da FEA-USP (Faculdade de Economia, Administração e Contabilidade da Universidade de São Paulo). </w:t>
      </w:r>
    </w:p>
    <w:p w14:paraId="355FFFF4" w14:textId="77777777" w:rsidR="003D33FC" w:rsidRPr="002E5394" w:rsidRDefault="003D33FC" w:rsidP="002E5394">
      <w:pPr>
        <w:spacing w:after="120" w:line="240" w:lineRule="auto"/>
        <w:jc w:val="both"/>
        <w:rPr>
          <w:rFonts w:ascii="Times New Roman" w:hAnsi="Times New Roman" w:cs="Times New Roman"/>
          <w:spacing w:val="-2"/>
          <w:sz w:val="24"/>
          <w:szCs w:val="24"/>
        </w:rPr>
      </w:pPr>
      <w:r w:rsidRPr="002E5394">
        <w:rPr>
          <w:rFonts w:ascii="Times New Roman" w:hAnsi="Times New Roman" w:cs="Times New Roman"/>
          <w:spacing w:val="-2"/>
          <w:sz w:val="24"/>
          <w:szCs w:val="24"/>
        </w:rPr>
        <w:t xml:space="preserve">Esse conjunto foi escolhido partindo-se do pressuposto de que, por já serem selecionadas como referência dentre um universo maior de organizações por meio de pesquisa anterior, estão buscando ter estratégias, políticas e práticas de ARH mais alinhadas ao presente paradigma. As organizações estudadas, por sua própria declaração, atuam em segmentos de mercado diversos e são </w:t>
      </w:r>
      <w:r w:rsidR="00F71C8F" w:rsidRPr="002E5394">
        <w:rPr>
          <w:rFonts w:ascii="Times New Roman" w:hAnsi="Times New Roman" w:cs="Times New Roman"/>
          <w:spacing w:val="-2"/>
          <w:sz w:val="24"/>
          <w:szCs w:val="24"/>
        </w:rPr>
        <w:t xml:space="preserve">preponderantemente </w:t>
      </w:r>
      <w:r w:rsidRPr="002E5394">
        <w:rPr>
          <w:rFonts w:ascii="Times New Roman" w:hAnsi="Times New Roman" w:cs="Times New Roman"/>
          <w:spacing w:val="-2"/>
          <w:sz w:val="24"/>
          <w:szCs w:val="24"/>
        </w:rPr>
        <w:t xml:space="preserve">de médio porte, entre 200 e 500 empregados; e de grande porte, com mais de 500 empregados </w:t>
      </w:r>
      <w:r w:rsidRPr="002E5394">
        <w:rPr>
          <w:rFonts w:ascii="Times New Roman" w:hAnsi="Times New Roman" w:cs="Times New Roman"/>
          <w:spacing w:val="-2"/>
          <w:sz w:val="24"/>
          <w:szCs w:val="24"/>
        </w:rPr>
        <w:fldChar w:fldCharType="begin" w:fldLock="1"/>
      </w:r>
      <w:r w:rsidRPr="002E5394">
        <w:rPr>
          <w:rFonts w:ascii="Times New Roman" w:hAnsi="Times New Roman" w:cs="Times New Roman"/>
          <w:spacing w:val="-2"/>
          <w:sz w:val="24"/>
          <w:szCs w:val="24"/>
        </w:rPr>
        <w:instrText>ADDIN CSL_CITATION { "citationItems" : [ { "id" : "ITEM-1", "itemData" : { "author" : [ { "dropping-particle" : "", "family" : "DIEESE", "given" : "", "non-dropping-particle" : "", "parse-names" : false, "suffix" : "" } ], "edition" : "8", "id" : "ITEM-1", "issued" : { "date-parts" : [ [ "2017" ] ] }, "number-of-pages" : "532", "publisher" : "DIEESE", "publisher-place" : "S\u00e3o Paulo", "title" : "Anu\u00e1rio do Trabalho nos Pequenos Neg\u00f3cios 2015", "type" : "book" }, "uris" : [ "http://www.mendeley.com/documents/?uuid=545f1829-cfa1-4509-be62-907c45e5383f" ] } ], "mendeley" : { "formattedCitation" : "(DIEESE, 2017)", "plainTextFormattedCitation" : "(DIEESE, 2017)", "previouslyFormattedCitation" : "(DIEESE, 2017)" }, "properties" : { "noteIndex" : 0 }, "schema" : "https://github.com/citation-style-language/schema/raw/master/csl-citation.json" }</w:instrText>
      </w:r>
      <w:r w:rsidRPr="002E5394">
        <w:rPr>
          <w:rFonts w:ascii="Times New Roman" w:hAnsi="Times New Roman" w:cs="Times New Roman"/>
          <w:spacing w:val="-2"/>
          <w:sz w:val="24"/>
          <w:szCs w:val="24"/>
        </w:rPr>
        <w:fldChar w:fldCharType="separate"/>
      </w:r>
      <w:r w:rsidRPr="002E5394">
        <w:rPr>
          <w:rFonts w:ascii="Times New Roman" w:hAnsi="Times New Roman" w:cs="Times New Roman"/>
          <w:noProof/>
          <w:spacing w:val="-2"/>
          <w:sz w:val="24"/>
          <w:szCs w:val="24"/>
        </w:rPr>
        <w:t>(DIEESE, 2017)</w:t>
      </w:r>
      <w:r w:rsidRPr="002E5394">
        <w:rPr>
          <w:rFonts w:ascii="Times New Roman" w:hAnsi="Times New Roman" w:cs="Times New Roman"/>
          <w:spacing w:val="-2"/>
          <w:sz w:val="24"/>
          <w:szCs w:val="24"/>
        </w:rPr>
        <w:fldChar w:fldCharType="end"/>
      </w:r>
      <w:r w:rsidRPr="002E5394">
        <w:rPr>
          <w:rFonts w:ascii="Times New Roman" w:hAnsi="Times New Roman" w:cs="Times New Roman"/>
          <w:spacing w:val="-2"/>
          <w:sz w:val="24"/>
          <w:szCs w:val="24"/>
        </w:rPr>
        <w:t xml:space="preserve">. </w:t>
      </w:r>
    </w:p>
    <w:p w14:paraId="3EEB0025" w14:textId="77777777" w:rsidR="00EF1CF6" w:rsidRPr="002E5394" w:rsidRDefault="00EF1CF6" w:rsidP="002E5394">
      <w:pPr>
        <w:spacing w:after="120" w:line="240" w:lineRule="auto"/>
        <w:rPr>
          <w:rFonts w:ascii="Times New Roman" w:hAnsi="Times New Roman" w:cs="Times New Roman"/>
          <w:b/>
          <w:sz w:val="24"/>
          <w:szCs w:val="24"/>
        </w:rPr>
      </w:pPr>
      <w:r w:rsidRPr="002E5394">
        <w:rPr>
          <w:rFonts w:ascii="Times New Roman" w:hAnsi="Times New Roman" w:cs="Times New Roman"/>
          <w:b/>
          <w:sz w:val="24"/>
          <w:szCs w:val="24"/>
        </w:rPr>
        <w:t>2. Problema de Pesquisa e Objetivo</w:t>
      </w:r>
    </w:p>
    <w:p w14:paraId="58715060"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Considerando que: (a) organizações enfrentam um crescente imperativo para redesenhar-se, buscando ter agilidade e se adaptar mais rapidamente diante de um contexto cada vez mais dinâmico; (b) teóricos vêm apontando a necessidade de mudanças na ARH; (c) práticos vêm buscando caminhos para esse alinhamento; e (d) as peculiaridades locais influenciam esse movimento de mudança, surge uma pergunta:</w:t>
      </w:r>
      <w:r w:rsidRPr="002E5394">
        <w:rPr>
          <w:rFonts w:ascii="Times New Roman" w:hAnsi="Times New Roman" w:cs="Times New Roman"/>
          <w:b/>
          <w:sz w:val="24"/>
          <w:szCs w:val="24"/>
        </w:rPr>
        <w:t xml:space="preserve"> </w:t>
      </w:r>
      <w:r w:rsidRPr="002E5394">
        <w:rPr>
          <w:rFonts w:ascii="Times New Roman" w:hAnsi="Times New Roman" w:cs="Times New Roman"/>
          <w:sz w:val="24"/>
          <w:szCs w:val="24"/>
        </w:rPr>
        <w:t>Tendo em vista as peculiaridades contextuais brasileiras, as organizações estão promovendo mudanças na ARH?</w:t>
      </w:r>
    </w:p>
    <w:p w14:paraId="0E2550EA"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Buscando responder à pergunta de pesquisa, este trabalho se propõe, como objetivo principal, verificar, por meio da declaração das organizações pesquisadas, mudanças ocorridas na sua ARH. Deste objetivo principal derivam outros, secundários</w:t>
      </w:r>
      <w:r w:rsidR="00EF1CF6" w:rsidRPr="002E5394">
        <w:rPr>
          <w:rFonts w:ascii="Times New Roman" w:hAnsi="Times New Roman" w:cs="Times New Roman"/>
          <w:sz w:val="24"/>
          <w:szCs w:val="24"/>
        </w:rPr>
        <w:t xml:space="preserve"> que são: (a) </w:t>
      </w:r>
      <w:r w:rsidR="005A3731" w:rsidRPr="002E5394">
        <w:rPr>
          <w:rFonts w:ascii="Times New Roman" w:hAnsi="Times New Roman" w:cs="Times New Roman"/>
          <w:sz w:val="24"/>
          <w:szCs w:val="24"/>
        </w:rPr>
        <w:t>i</w:t>
      </w:r>
      <w:r w:rsidRPr="002E5394">
        <w:rPr>
          <w:rFonts w:ascii="Times New Roman" w:hAnsi="Times New Roman" w:cs="Times New Roman"/>
          <w:sz w:val="24"/>
          <w:szCs w:val="24"/>
        </w:rPr>
        <w:t>dentificar, dentre as organizações pesquisadas, quais as mudanças mais frequentes na ARH das organizações</w:t>
      </w:r>
      <w:r w:rsidR="00EF1CF6" w:rsidRPr="002E5394">
        <w:rPr>
          <w:rFonts w:ascii="Times New Roman" w:hAnsi="Times New Roman" w:cs="Times New Roman"/>
          <w:sz w:val="24"/>
          <w:szCs w:val="24"/>
        </w:rPr>
        <w:t xml:space="preserve">; (b) </w:t>
      </w:r>
      <w:r w:rsidR="005A3731" w:rsidRPr="002E5394">
        <w:rPr>
          <w:rFonts w:ascii="Times New Roman" w:hAnsi="Times New Roman" w:cs="Times New Roman"/>
          <w:sz w:val="24"/>
          <w:szCs w:val="24"/>
        </w:rPr>
        <w:t>a</w:t>
      </w:r>
      <w:r w:rsidRPr="002E5394">
        <w:rPr>
          <w:rFonts w:ascii="Times New Roman" w:hAnsi="Times New Roman" w:cs="Times New Roman"/>
          <w:sz w:val="24"/>
          <w:szCs w:val="24"/>
        </w:rPr>
        <w:t>nalisar se as mudanças identificadas são dispersas ou se concentram em empresas de determinado porte (número de empregados) ou segmento (de mercado) declarados pelas organizações</w:t>
      </w:r>
      <w:r w:rsidR="00EF1CF6" w:rsidRPr="002E5394">
        <w:rPr>
          <w:rFonts w:ascii="Times New Roman" w:hAnsi="Times New Roman" w:cs="Times New Roman"/>
          <w:sz w:val="24"/>
          <w:szCs w:val="24"/>
        </w:rPr>
        <w:t>; (c) c</w:t>
      </w:r>
      <w:r w:rsidRPr="002E5394">
        <w:rPr>
          <w:rFonts w:ascii="Times New Roman" w:hAnsi="Times New Roman" w:cs="Times New Roman"/>
          <w:sz w:val="24"/>
          <w:szCs w:val="24"/>
        </w:rPr>
        <w:t>aracterizar a natureza destas mudanças; se estratégicas, de políticas ou de práticas;</w:t>
      </w:r>
      <w:r w:rsidR="00EF1CF6" w:rsidRPr="002E5394">
        <w:rPr>
          <w:rFonts w:ascii="Times New Roman" w:hAnsi="Times New Roman" w:cs="Times New Roman"/>
          <w:sz w:val="24"/>
          <w:szCs w:val="24"/>
        </w:rPr>
        <w:t xml:space="preserve"> (d) c</w:t>
      </w:r>
      <w:r w:rsidRPr="002E5394">
        <w:rPr>
          <w:rFonts w:ascii="Times New Roman" w:hAnsi="Times New Roman" w:cs="Times New Roman"/>
          <w:sz w:val="24"/>
          <w:szCs w:val="24"/>
        </w:rPr>
        <w:t xml:space="preserve">omparar os achados das organizações buscando verificar, segundo o conceito de </w:t>
      </w:r>
      <w:proofErr w:type="spellStart"/>
      <w:r w:rsidRPr="002E5394">
        <w:rPr>
          <w:rFonts w:ascii="Times New Roman" w:hAnsi="Times New Roman" w:cs="Times New Roman"/>
          <w:sz w:val="24"/>
          <w:szCs w:val="24"/>
        </w:rPr>
        <w:t>Dimaggio</w:t>
      </w:r>
      <w:proofErr w:type="spellEnd"/>
      <w:r w:rsidRPr="002E5394">
        <w:rPr>
          <w:rFonts w:ascii="Times New Roman" w:hAnsi="Times New Roman" w:cs="Times New Roman"/>
          <w:sz w:val="24"/>
          <w:szCs w:val="24"/>
        </w:rPr>
        <w:t xml:space="preserve"> e Powell (1983), se há “isoformismo” institucional entre elas</w:t>
      </w:r>
      <w:r w:rsidR="00EF1CF6" w:rsidRPr="002E5394">
        <w:rPr>
          <w:rFonts w:ascii="Times New Roman" w:hAnsi="Times New Roman" w:cs="Times New Roman"/>
          <w:sz w:val="24"/>
          <w:szCs w:val="24"/>
        </w:rPr>
        <w:t xml:space="preserve"> e (d) a</w:t>
      </w:r>
      <w:r w:rsidRPr="002E5394">
        <w:rPr>
          <w:rFonts w:ascii="Times New Roman" w:hAnsi="Times New Roman" w:cs="Times New Roman"/>
          <w:sz w:val="24"/>
          <w:szCs w:val="24"/>
        </w:rPr>
        <w:t xml:space="preserve">nalisar as mudanças sob um aspecto mais geral, avaliando se está havendo uma busca interna de alinhamento ao perfil de “organizações do futuro”, ou seja, a organizações de alto desempenho operam em </w:t>
      </w:r>
      <w:bookmarkStart w:id="1" w:name="_Hlk516004410"/>
      <w:r w:rsidRPr="002E5394">
        <w:rPr>
          <w:rFonts w:ascii="Times New Roman" w:hAnsi="Times New Roman" w:cs="Times New Roman"/>
          <w:sz w:val="24"/>
          <w:szCs w:val="24"/>
        </w:rPr>
        <w:t xml:space="preserve">redes coordenadas por meio da cultura, sistemas de informação e mobilidade de talentos. </w:t>
      </w:r>
      <w:bookmarkEnd w:id="1"/>
      <w:r w:rsidRPr="002E5394">
        <w:rPr>
          <w:rFonts w:ascii="Times New Roman" w:hAnsi="Times New Roman" w:cs="Times New Roman"/>
          <w:sz w:val="24"/>
          <w:szCs w:val="24"/>
        </w:rPr>
        <w:t xml:space="preserve">Essas organizações não têm sua atenção apenas no redesenho da própria organização, mas no desenvolvimento de novos modelos </w:t>
      </w:r>
      <w:r w:rsidRPr="002E5394">
        <w:rPr>
          <w:rFonts w:ascii="Times New Roman" w:hAnsi="Times New Roman" w:cs="Times New Roman"/>
          <w:sz w:val="24"/>
          <w:szCs w:val="24"/>
        </w:rPr>
        <w:fldChar w:fldCharType="begin" w:fldLock="1"/>
      </w:r>
      <w:r w:rsidR="00925A29" w:rsidRPr="002E5394">
        <w:rPr>
          <w:rFonts w:ascii="Times New Roman" w:hAnsi="Times New Roman" w:cs="Times New Roman"/>
          <w:sz w:val="24"/>
          <w:szCs w:val="24"/>
        </w:rPr>
        <w:instrText>ADDIN CSL_CITATION { "citationItems" : [ { "id" : "ITEM-1", "itemData" : { "author" : [ { "dropping-particle" : "", "family" : "Lawler", "given" : "Edward E.", "non-dropping-particle" : "", "parse-names" : false, "suffix" : "" }, { "dropping-particle" : "", "family" : "Worley", "given" : "Christopher G.", "non-dropping-particle" : "", "parse-names" : false, "suffix" : "" } ], "id" : "ITEM-1", "issued" : { "date-parts" : [ [ "2011" ] ] }, "number-of-pages" : "353", "publisher" : "Jossey-Bass", "publisher-place" : "San Francisco", "title" : "Management Reset: Organizing for Sustainable Effectiveness", "type" : "book" }, "uris" : [ "http://www.mendeley.com/documents/?uuid=5ceeb6e1-0cda-44c9-b9b5-e550ab7d3974" ] }, { "id" : "ITEM-2", "itemData" : { "author" : [ { "dropping-particle" : "", "family" : "Fischer", "given" : "Andr\u00e9 Luiz", "non-dropping-particle" : "", "parse-names" : false, "suffix" : "" }, { "dropping-particle" : "", "family" : "Albuquerque", "given" : "Lindolfo", "non-dropping-particle" : "", "parse-names" : false, "suffix" : "" } ], "container-title" : "XXV Encontro da ANPAD - EnANPAD", "id" : "ITEM-2", "issued" : { "date-parts" : [ [ "2011" ] ] }, "publisher" : "ANPAD", "publisher-place" : "Campinas", "title" : "Tend\u00eancias Que Orientam as Decis\u00f5es dos Formadores de Opini\u00e3o em Gest\u00e3o de Pessoas no Brasil - RH 2010", "type" : "paper-conference" }, "uris" : [ "http://www.mendeley.com/documents/?uuid=effa8ea6-b252-42da-87e4-11c14b03b34b" ] }, { "id" : "ITEM-3", "itemData" : { "author" : [ { "dropping-particle" : "", "family" : "Deloitte Touche Tohmatsu", "given" : "", "non-dropping-particle" : "", "parse-names" : false, "suffix" : "" } ], "id" : "ITEM-3", "issued" : { "date-parts" : [ [ "2017" ] ] }, "publisher" : "Deloitte University Press", "publisher-place" : "New York", "title" : "Rewriting the rules for the digital age: 2017 Deloitte Global Human Capital Trends", "type" : "book" }, "uris" : [ "http://www.mendeley.com/documents/?uuid=d7dd804b-742c-4e10-8197-1a5fd9733f34" ] } ], "mendeley" : { "formattedCitation" : "(DELOITTE TOUCHE TOHMATSU, 2017; FISCHER; ALBUQUERQUE, 2011; LAWLER; WORLEY, 2011)", "plainTextFormattedCitation" : "(DELOITTE TOUCHE TOHMATSU, 2017; FISCHER; ALBUQUERQUE, 2011; LAWLER; WORLEY, 2011)", "previouslyFormattedCitation" : "(DELOITTE TOUCHE TOHMATSU, 2017; FISCHER; ALBUQUERQUE, 2011; LAWLER; WORLEY, 2011)"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(DELOITTE TOUCHE TOHMATSU, 2017; FISCHER; ALBUQUERQUE, 2011; LAWLER; WORLEY, 2011)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489DD2E9" w14:textId="77777777" w:rsidR="00DC7BAA" w:rsidRPr="002E5394" w:rsidRDefault="00DC7BAA" w:rsidP="002E5394">
      <w:pPr>
        <w:spacing w:after="120" w:line="240" w:lineRule="auto"/>
        <w:jc w:val="both"/>
        <w:rPr>
          <w:rFonts w:ascii="Times New Roman" w:hAnsi="Times New Roman" w:cs="Times New Roman"/>
          <w:b/>
          <w:sz w:val="24"/>
          <w:szCs w:val="24"/>
        </w:rPr>
      </w:pPr>
      <w:r w:rsidRPr="002E5394">
        <w:rPr>
          <w:rFonts w:ascii="Times New Roman" w:hAnsi="Times New Roman" w:cs="Times New Roman"/>
          <w:b/>
          <w:sz w:val="24"/>
          <w:szCs w:val="24"/>
        </w:rPr>
        <w:lastRenderedPageBreak/>
        <w:t>3. Fundamentação Teórica</w:t>
      </w:r>
    </w:p>
    <w:p w14:paraId="69B10D6F" w14:textId="77777777" w:rsidR="0080122A" w:rsidRPr="002E5394" w:rsidRDefault="0080122A"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Uma vez definida a questão a ser respondida pela presente pesquisa e os objetivos que derivam desta, procedeu-se a uma revisão da bibliografia, buscando um referencial teórico que colaborasse na busca destes objetivos. A revisão concentrou-se nos seguintes tópicos, que foram: (a) a ARH é o campo de estudo onde se posiciona o presente trabalho; (b) a Teoria Institucional é uma lente possível para observar a realidade e uma abordagem consolidada para a análise organizacional, tendo dentre seus interesses o de compreender mecanismos causais de mudança e estabilidade que afetam as organizações e; (c) como as mudanças são o fenômeno estudado neste trabalho, verificamos as diferentes perspectivas, conceitos e informações correlatas ao tema, que são úteis ao objeto do presente estudo. </w:t>
      </w:r>
    </w:p>
    <w:p w14:paraId="485D3E87" w14:textId="77777777" w:rsidR="00F15130" w:rsidRPr="002E5394" w:rsidRDefault="00F15130" w:rsidP="002E5394">
      <w:pPr>
        <w:spacing w:after="120" w:line="240" w:lineRule="auto"/>
        <w:jc w:val="both"/>
        <w:rPr>
          <w:rFonts w:ascii="Times New Roman" w:eastAsia="Times New Roman" w:hAnsi="Times New Roman" w:cs="Times New Roman"/>
          <w:spacing w:val="-1"/>
          <w:sz w:val="24"/>
          <w:szCs w:val="24"/>
        </w:rPr>
      </w:pPr>
      <w:r w:rsidRPr="002E5394">
        <w:rPr>
          <w:rFonts w:ascii="Times New Roman" w:hAnsi="Times New Roman" w:cs="Times New Roman"/>
          <w:sz w:val="24"/>
          <w:szCs w:val="24"/>
        </w:rPr>
        <w:t>A GRH (gestão de recursos humanos) ou ARH (administração de recursos humanos), em inglês HRM (</w:t>
      </w:r>
      <w:proofErr w:type="spellStart"/>
      <w:r w:rsidRPr="002E5394">
        <w:rPr>
          <w:rFonts w:ascii="Times New Roman" w:hAnsi="Times New Roman" w:cs="Times New Roman"/>
          <w:i/>
          <w:sz w:val="24"/>
          <w:szCs w:val="24"/>
        </w:rPr>
        <w:t>human</w:t>
      </w:r>
      <w:proofErr w:type="spellEnd"/>
      <w:r w:rsidRPr="002E5394">
        <w:rPr>
          <w:rFonts w:ascii="Times New Roman" w:hAnsi="Times New Roman" w:cs="Times New Roman"/>
          <w:i/>
          <w:sz w:val="24"/>
          <w:szCs w:val="24"/>
        </w:rPr>
        <w:t xml:space="preserve"> </w:t>
      </w:r>
      <w:proofErr w:type="spellStart"/>
      <w:r w:rsidRPr="002E5394">
        <w:rPr>
          <w:rFonts w:ascii="Times New Roman" w:hAnsi="Times New Roman" w:cs="Times New Roman"/>
          <w:i/>
          <w:sz w:val="24"/>
          <w:szCs w:val="24"/>
        </w:rPr>
        <w:t>resources</w:t>
      </w:r>
      <w:proofErr w:type="spellEnd"/>
      <w:r w:rsidRPr="002E5394">
        <w:rPr>
          <w:rFonts w:ascii="Times New Roman" w:hAnsi="Times New Roman" w:cs="Times New Roman"/>
          <w:i/>
          <w:sz w:val="24"/>
          <w:szCs w:val="24"/>
        </w:rPr>
        <w:t xml:space="preserve"> managment)</w:t>
      </w:r>
      <w:r w:rsidRPr="002E5394">
        <w:rPr>
          <w:rFonts w:ascii="Times New Roman" w:hAnsi="Times New Roman" w:cs="Times New Roman"/>
          <w:sz w:val="24"/>
          <w:szCs w:val="24"/>
        </w:rPr>
        <w:t xml:space="preserve">, é definida, de uma forma bastante ampla e genérica, como a coordenação e efetiva utilização da mão de obra das pessoas para a produção de bens e serviços nas organizações, independentemente de modelos econômicos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"10.1093/oxfordhb/9780199547029.001.0001", "ISBN" : "9780199547029", "author" : [ { "dropping-particle" : "", "family" : "Latham", "given" : "Gary P.", "non-dropping-particle" : "", "parse-names" : false, "suffix" : "" }, { "dropping-particle" : "", "family" : "Sulsky", "given" : "Lorne M.", "non-dropping-particle" : "", "parse-names" : false, "suffix" : "" }, { "dropping-particle" : "", "family" : "MacDonald", "given" : "Heather", "non-dropping-particle" : "", "parse-names" : false, "suffix" : "" } ], "container-title" : "The Oxford Handbook of Human Resource Management", "editor" : [ { "dropping-particle" : "", "family" : "Boxall", "given" : "Peter", "non-dropping-particle" : "", "parse-names" : false, "suffix" : "" }, { "dropping-particle" : "", "family" : "Purcell", "given" : "John", "non-dropping-particle" : "", "parse-names" : false, "suffix" : "" }, { "dropping-particle" : "", "family" : "Wright", "given" : "Patrick M.", "non-dropping-particle" : "", "parse-names" : false, "suffix" : "" } ], "id" : "ITEM-1", "issued" : { "date-parts" : [ [ "2008" ] ] }, "page" : "528", "publisher" : "Oxford University Press", "publisher-place" : "Oxford", "title" : "Performance Management", "type" : "chapter" }, "uris" : [ "http://www.mendeley.com/documents/?uuid=a08bb00d-011b-48be-9217-390dd45454ff" ] } ], "mendeley" : { "formattedCitation" : "(LATHAM; SULSKY; MACDONALD, 2008)", "plainTextFormattedCitation" : "(LATHAM; SULSKY; MACDONALD, 2008)", "previouslyFormattedCitation" : "(LATHAM; SULSKY; MACDONALD, 2008)"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(LATHAM; SULSKY; MACDONALD, 2008)</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Frequentemente, confunde-se esse conceito amplo de ARH com uma interpretação mais restritiva, como se a área tratasse apenas de filosofia e da prática gerencial, propagada pelas escolas de negócios a partir da década de 1980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"Dulebohn", "given" : "James H.", "non-dropping-particle" : "", "parse-names" : false, "suffix" : "" }, { "dropping-particle" : "", "family" : "Ferris", "given" : "Gerald R.", "non-dropping-particle" : "", "parse-names" : false, "suffix" : "" }, { "dropping-particle" : "", "family" : "Stodd", "given" : "James T.", "non-dropping-particle" : "", "parse-names" : false, "suffix" : "" } ], "container-title" : "Handbook of Human Resource Management", "editor" : [ { "dropping-particle" : "", "family" : "Ferris", "given" : "Gerald R.", "non-dropping-particle" : "", "parse-names" : false, "suffix" : "" }, { "dropping-particle" : "", "family" : "Rosen", "given" : "Sherman D.", "non-dropping-particle" : "", "parse-names" : false, "suffix" : "" }, { "dropping-particle" : "", "family" : "Barnum", "given" : "Darold R.", "non-dropping-particle" : "", "parse-names" : false, "suffix" : "" } ], "id" : "ITEM-1", "issued" : { "date-parts" : [ [ "1995" ] ] }, "page" : "666", "publisher" : "Blackwell Publishers Ltd", "publisher-place" : "Oxford", "title" : "The History and Evolution of Human Resource Management", "type" : "chapter" }, "uris" : [ "http://www.mendeley.com/documents/?uuid=b2f6d2cd-5756-4f4b-ac12-392f13d7b644" ] } ], "mendeley" : { "formattedCitation" : "(DULEBOHN; FERRIS; STODD, 1995)", "plainTextFormattedCitation" : "(DULEBOHN; FERRIS; STODD, 1995)", "previouslyFormattedCitation" : "(DULEBOHN; FERRIS; STODD, 1995)"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(DULEBOHN; FERRIS; STODD, 1995)</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Na literatura, sobretudo nacional, encontra-se ainda o termo GP (gestão de pessoas), que, além de ser uma tentativa de substituir a desgastada noção de ARH, tem por objetivo ressaltar o caráter da ação, a “gestão”, e seu foco de atenção, que são as “pessoas” </w:t>
      </w:r>
      <w:r w:rsidRPr="002E5394">
        <w:rPr>
          <w:rFonts w:ascii="Times New Roman" w:hAnsi="Times New Roman" w:cs="Times New Roman"/>
          <w:sz w:val="24"/>
          <w:szCs w:val="24"/>
        </w:rPr>
        <w:fldChar w:fldCharType="begin" w:fldLock="1"/>
      </w:r>
      <w:r w:rsidR="00A47B88" w:rsidRPr="002E5394">
        <w:rPr>
          <w:rFonts w:ascii="Times New Roman" w:hAnsi="Times New Roman" w:cs="Times New Roman"/>
          <w:sz w:val="24"/>
          <w:szCs w:val="24"/>
        </w:rPr>
        <w:instrText>ADDIN CSL_CITATION { "citationItems" : [ { "id" : "ITEM-1", "itemData" : { "abstract" : "Este estudo foi elaborado visando contribuir para o debate sobre as mudan\u00e7as que ocorreram na vida empresarial brasileira durante a \u00faltima d\u00e9cada. Seu principal objetivo consiste em analisar uma dimens\u00e3o particular deste processo de mudan\u00e7a: as Pol\u00edticas e Pr\u00e1ticas de Gest\u00e3o de Pessoas que foram adotadas como parte do ajuste geral das empresas brasileiras \u00e0s press\u00f5es competitividade. Ele procura identificar se estas mudan\u00e7as configuram uma nova forma de atua\u00e7\u00e3o qualitativamente diferente das anteriores, constituindo o que podemos chamar de Modelo Competitivo de Gest\u00e3o de Pessoas. Por ser uma abstra\u00e7\u00e3o te\u00f3rica, o modelo \u00e9 inicialmente constru\u00eddo com base no que a literatura nacional e internacional prev\u00ea como tend\u00eancia geral para a \u00e1rea. Depois, atrav\u00e9s de uma pesquisa com formadores de opini\u00e3o, se definem dois resultados intermedi\u00e1rios do estudo. S\u00e3o selecionadas as tend\u00eancias mais aplic\u00e1veis ao caso brasileiro e se estabelece um conjunto de empresas nacionais mais representativas do novo modelo de forma\u00e7\u00e3o. Nas empresas mais destacadas, foram realizados estudos de caso. O que permitiu formar um quadro explicativo mais aprofundado sobre as transforma\u00e7\u00f5es ocorridas na hist\u00f3ria recente de suas fun\u00e7\u00f5es de Recursos Humanos. Embora trate-se de uma pesquisa explorat\u00f3ria, que aborda um movimento ainda em curso na vida econ\u00f4mica e empresarial do pa\u00eds, algumas constata\u00e7\u00f5es puderam ser reveladas pelas duas t\u00e9cnicas de investiga\u00e7\u00e3o adotadas. A principal delas \u00e9 que as empresas realmente alteraram de forma radical a maneira de se relacionar com seus empregados. Passaram a exigir resultados, a estabelecer uma rela\u00e7\u00e3o mais profissional e diferenciadora do desempenho individual, al\u00e9m de atribuir \u00e0s pessoas maior responsabilidade. Com isso o ambiente de trabalho tornou-se mais desafiante e estimulador do desenvolvimento pessoal e profissional, ao mesmo tempo em que se transferiu para a vida organizacional os mesmos princ\u00edpios de competitividade que regem a l\u00f3gica do mundo dos neg\u00f3cios. Para que isso aconte\u00e7a, as pol\u00edticas, processos e procedimentos de Recursos Humanos s\u00e3o formatados de maneira a gerar mais competi\u00e7\u00e3o, diferencia\u00e7\u00e3o e engajamento ao mercado de trabalho, do que solidariedade, coopera\u00e7\u00e3o e lealdade \u00e0 empresa", "author" : [ { "dropping-particle" : "", "family" : "Fischer", "given" : "Andr\u00e9 Luiz", "non-dropping-particle" : "", "parse-names" : false, "suffix" : "" } ], "id" : "ITEM-1", "issued" : { "date-parts" : [ [ "1998" ] ] }, "page" : "393", "publisher" : "Universidade de S\u00e3o Paulo", "publisher-place" : "S\u00e3o Paulo", "title" : "A Constitui\u00e7\u00e3o do Modelo Competitivo de Gest\u00e3o de Pessoas no Brasil - Um Estudo Sobre as Empresas Consideradas Exemplares (Tese de Doutorado)", "type" : "article" }, "locator" : "49", "uris" : [ "http://www.mendeley.com/documents/?uuid=3e12e793-cd8a-48ae-9006-9f0e23203f85" ] } ], "mendeley" : { "formattedCitation" : "(FISCHER, 1998, p. 49)", "plainTextFormattedCitation" : "(FISCHER, 1998, p. 49)", "previouslyFormattedCitation" : "(FISCHER, 1998, p. 49)"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00925A29" w:rsidRPr="002E5394">
        <w:rPr>
          <w:rFonts w:ascii="Times New Roman" w:hAnsi="Times New Roman" w:cs="Times New Roman"/>
          <w:noProof/>
          <w:sz w:val="24"/>
          <w:szCs w:val="24"/>
        </w:rPr>
        <w:t>(FISCHER, 1998, p. 49)</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Para fins do presente trabalho, utilizaremos majoritariamente o termo ARH, referenciando-se a </w:t>
      </w:r>
      <w:r w:rsidRPr="002E5394">
        <w:rPr>
          <w:rFonts w:ascii="Times New Roman" w:hAnsi="Times New Roman" w:cs="Times New Roman"/>
          <w:sz w:val="24"/>
          <w:szCs w:val="24"/>
          <w:lang w:eastAsia="pt-BR"/>
        </w:rPr>
        <w:t>todas as atividades de gestão do trabalho das pessoas nas empresas e em outras organizações formais</w:t>
      </w:r>
      <w:r w:rsidRPr="002E5394">
        <w:rPr>
          <w:rFonts w:ascii="Times New Roman" w:hAnsi="Times New Roman" w:cs="Times New Roman"/>
          <w:sz w:val="24"/>
          <w:szCs w:val="24"/>
        </w:rPr>
        <w:t>. Uma escolha feita por mera convenção, uma vez que, de forma prática, observou-se que os diferentes termos vêm sendo empregados frequentemente como sinônimos na literatura.</w:t>
      </w:r>
      <w:r w:rsidR="00554779" w:rsidRPr="002E5394">
        <w:rPr>
          <w:rFonts w:ascii="Times New Roman" w:hAnsi="Times New Roman" w:cs="Times New Roman"/>
          <w:sz w:val="24"/>
          <w:szCs w:val="24"/>
        </w:rPr>
        <w:t xml:space="preserve"> </w:t>
      </w:r>
      <w:proofErr w:type="spellStart"/>
      <w:r w:rsidR="00554779" w:rsidRPr="002E5394">
        <w:rPr>
          <w:rFonts w:ascii="Times New Roman" w:eastAsia="Times New Roman" w:hAnsi="Times New Roman" w:cs="Times New Roman"/>
          <w:spacing w:val="-1"/>
          <w:sz w:val="24"/>
          <w:szCs w:val="24"/>
        </w:rPr>
        <w:t>Legge</w:t>
      </w:r>
      <w:proofErr w:type="spellEnd"/>
      <w:r w:rsidR="00554779" w:rsidRPr="002E5394">
        <w:rPr>
          <w:rFonts w:ascii="Times New Roman" w:eastAsia="Times New Roman" w:hAnsi="Times New Roman" w:cs="Times New Roman"/>
          <w:spacing w:val="-1"/>
          <w:sz w:val="24"/>
          <w:szCs w:val="24"/>
        </w:rPr>
        <w:t xml:space="preserve"> </w:t>
      </w:r>
      <w:r w:rsidR="00554779" w:rsidRPr="002E5394">
        <w:rPr>
          <w:rFonts w:ascii="Times New Roman" w:eastAsia="Times New Roman" w:hAnsi="Times New Roman" w:cs="Times New Roman"/>
          <w:spacing w:val="-1"/>
          <w:sz w:val="24"/>
          <w:szCs w:val="24"/>
        </w:rPr>
        <w:fldChar w:fldCharType="begin" w:fldLock="1"/>
      </w:r>
      <w:r w:rsidR="00554779" w:rsidRPr="002E5394">
        <w:rPr>
          <w:rFonts w:ascii="Times New Roman" w:eastAsia="Times New Roman" w:hAnsi="Times New Roman" w:cs="Times New Roman"/>
          <w:spacing w:val="-1"/>
          <w:sz w:val="24"/>
          <w:szCs w:val="24"/>
        </w:rPr>
        <w:instrText>ADDIN CSL_CITATION { "citationItems" : [ { "id" : "ITEM-1", "itemData" : { "author" : [ { "dropping-particle" : "", "family" : "Legge", "given" : "Karen", "non-dropping-particle" : "", "parse-names" : false, "suffix" : "" } ], "id" : "ITEM-1", "issued" : { "date-parts" : [ [ "2005" ] ] }, "publisher" : "Palgrave Macmillan", "publisher-place" : "New York", "title" : "Human Resource Management: Rhetorics and Realities", "type" : "book" }, "uris" : [ "http://www.mendeley.com/documents/?uuid=cbe8c379-07a7-4e56-9b7d-2dd8a9a59798" ] } ], "mendeley" : { "formattedCitation" : "(LEGGE, 2005)", "manualFormatting" : "(2005)", "plainTextFormattedCitation" : "(LEGGE, 2005)", "previouslyFormattedCitation" : "(LEGGE, 2005)" }, "properties" : { "noteIndex" : 0 }, "schema" : "https://github.com/citation-style-language/schema/raw/master/csl-citation.json" }</w:instrText>
      </w:r>
      <w:r w:rsidR="00554779" w:rsidRPr="002E5394">
        <w:rPr>
          <w:rFonts w:ascii="Times New Roman" w:eastAsia="Times New Roman" w:hAnsi="Times New Roman" w:cs="Times New Roman"/>
          <w:spacing w:val="-1"/>
          <w:sz w:val="24"/>
          <w:szCs w:val="24"/>
        </w:rPr>
        <w:fldChar w:fldCharType="separate"/>
      </w:r>
      <w:r w:rsidR="00554779" w:rsidRPr="002E5394">
        <w:rPr>
          <w:rFonts w:ascii="Times New Roman" w:eastAsia="Times New Roman" w:hAnsi="Times New Roman" w:cs="Times New Roman"/>
          <w:noProof/>
          <w:spacing w:val="-1"/>
          <w:sz w:val="24"/>
          <w:szCs w:val="24"/>
        </w:rPr>
        <w:t>(2005)</w:t>
      </w:r>
      <w:r w:rsidR="00554779" w:rsidRPr="002E5394">
        <w:rPr>
          <w:rFonts w:ascii="Times New Roman" w:eastAsia="Times New Roman" w:hAnsi="Times New Roman" w:cs="Times New Roman"/>
          <w:spacing w:val="-1"/>
          <w:sz w:val="24"/>
          <w:szCs w:val="24"/>
        </w:rPr>
        <w:fldChar w:fldCharType="end"/>
      </w:r>
      <w:r w:rsidR="00554779" w:rsidRPr="002E5394">
        <w:rPr>
          <w:rFonts w:ascii="Times New Roman" w:eastAsia="Times New Roman" w:hAnsi="Times New Roman" w:cs="Times New Roman"/>
          <w:spacing w:val="-1"/>
          <w:sz w:val="24"/>
          <w:szCs w:val="24"/>
        </w:rPr>
        <w:t xml:space="preserve"> </w:t>
      </w:r>
      <w:r w:rsidR="00554779" w:rsidRPr="002E5394">
        <w:rPr>
          <w:rFonts w:ascii="Times New Roman" w:eastAsia="Times New Roman" w:hAnsi="Times New Roman" w:cs="Times New Roman"/>
          <w:spacing w:val="2"/>
          <w:sz w:val="24"/>
          <w:szCs w:val="24"/>
        </w:rPr>
        <w:t>afirma que a ARH estuda como as relações de trabalho são gerenciadas pela organização de forma a alcançar suas metas. Tais relações de trabalho formalizam-se por meio de políticas e práticas, sendo que</w:t>
      </w:r>
      <w:r w:rsidR="00554779" w:rsidRPr="002E5394">
        <w:rPr>
          <w:rFonts w:ascii="Times New Roman" w:eastAsia="Times New Roman" w:hAnsi="Times New Roman" w:cs="Times New Roman"/>
          <w:spacing w:val="-1"/>
          <w:sz w:val="24"/>
          <w:szCs w:val="24"/>
        </w:rPr>
        <w:t xml:space="preserve"> as políticas de gestão de pessoas devem ser integradas ao planejamento estratégico da organização e utilizadas para reforçar a cultura organizacional.</w:t>
      </w:r>
    </w:p>
    <w:p w14:paraId="3C34ADC4" w14:textId="77777777" w:rsidR="00554779" w:rsidRPr="002E5394" w:rsidRDefault="00554779" w:rsidP="002E5394">
      <w:pPr>
        <w:spacing w:after="120" w:line="240" w:lineRule="auto"/>
        <w:jc w:val="both"/>
        <w:rPr>
          <w:rFonts w:ascii="Times New Roman" w:hAnsi="Times New Roman" w:cs="Times New Roman"/>
          <w:sz w:val="24"/>
          <w:szCs w:val="24"/>
        </w:rPr>
      </w:pPr>
      <w:r w:rsidRPr="002E5394">
        <w:rPr>
          <w:rFonts w:ascii="Times New Roman" w:eastAsia="Times New Roman" w:hAnsi="Times New Roman" w:cs="Times New Roman"/>
          <w:color w:val="000000"/>
          <w:sz w:val="24"/>
          <w:szCs w:val="24"/>
          <w:lang w:eastAsia="pt-BR"/>
        </w:rPr>
        <w:t xml:space="preserve">A Teoria Institucional caracteriza-se como abordagem consolidada </w:t>
      </w:r>
      <w:r w:rsidRPr="002E5394">
        <w:rPr>
          <w:rFonts w:ascii="Times New Roman" w:hAnsi="Times New Roman" w:cs="Times New Roman"/>
          <w:sz w:val="24"/>
          <w:szCs w:val="24"/>
        </w:rPr>
        <w:t xml:space="preserve">para a análise social e, particularmente organizacional, observando as instituições e suas regras, bem como as práticas e estruturas que permitem sua consecução, </w:t>
      </w:r>
      <w:r w:rsidRPr="002E5394">
        <w:rPr>
          <w:rFonts w:ascii="Times New Roman" w:eastAsia="Times New Roman" w:hAnsi="Times New Roman" w:cs="Times New Roman"/>
          <w:color w:val="000000"/>
          <w:sz w:val="24"/>
          <w:szCs w:val="24"/>
          <w:lang w:eastAsia="pt-BR"/>
        </w:rPr>
        <w:t xml:space="preserve">tendo como interesses compreender e identificar mecanismos causais de mudança e estabilidade que afetam as organizações </w:t>
      </w:r>
      <w:r w:rsidRPr="002E5394">
        <w:rPr>
          <w:rFonts w:ascii="Times New Roman" w:eastAsia="Times New Roman" w:hAnsi="Times New Roman" w:cs="Times New Roman"/>
          <w:color w:val="000000"/>
          <w:sz w:val="24"/>
          <w:szCs w:val="24"/>
          <w:lang w:eastAsia="pt-BR"/>
        </w:rPr>
        <w:fldChar w:fldCharType="begin" w:fldLock="1"/>
      </w:r>
      <w:r w:rsidR="00A47B88" w:rsidRPr="002E5394">
        <w:rPr>
          <w:rFonts w:ascii="Times New Roman" w:eastAsia="Times New Roman" w:hAnsi="Times New Roman" w:cs="Times New Roman"/>
          <w:color w:val="000000"/>
          <w:sz w:val="24"/>
          <w:szCs w:val="24"/>
          <w:lang w:eastAsia="pt-BR"/>
        </w:rPr>
        <w:instrText>ADDIN CSL_CITATION { "citationItems" : [ { "id" : "ITEM-1", "itemData" : { "author" : [ { "dropping-particle" : "", "family" : "Greenwood", "given" : "Royston", "non-dropping-particle" : "", "parse-names" : false, "suffix" : "" }, { "dropping-particle" : "", "family" : "Oliver", "given" : "Christine", "non-dropping-particle" : "", "parse-names" : false, "suffix" : "" }, { "dropping-particle" : "", "family" : "Lawrence", "given" : "Thomas B.", "non-dropping-particle" : "", "parse-names" : false, "suffix" : "" }, { "dropping-particle" : "", "family" : "Meyer", "given" : "Renate E.", "non-dropping-particle" : "", "parse-names" : false, "suffix" : "" } ], "edition" : "2", "id" : "ITEM-1", "issued" : { "date-parts" : [ [ "2017" ] ] }, "number-of-pages" : "928", "publisher" : "SAGE Publications Ltd", "publisher-place" : "London", "title" : "The Sage Handbook of Organizational Institutionalism", "type" : "book" }, "uris" : [ "http://www.mendeley.com/documents/?uuid=2caeccca-cb3f-4c61-b2df-c19a257f23e0" ] } ], "mendeley" : { "formattedCitation" : "(GREENWOOD et al., 2017)", "plainTextFormattedCitation" : "(GREENWOOD et al., 2017)", "previouslyFormattedCitation" : "(GREENWOOD et al., 2017)" }, "properties" : { "noteIndex" : 0 }, "schema" : "https://github.com/citation-style-language/schema/raw/master/csl-citation.json" }</w:instrText>
      </w:r>
      <w:r w:rsidRPr="002E5394">
        <w:rPr>
          <w:rFonts w:ascii="Times New Roman" w:eastAsia="Times New Roman" w:hAnsi="Times New Roman" w:cs="Times New Roman"/>
          <w:color w:val="000000"/>
          <w:sz w:val="24"/>
          <w:szCs w:val="24"/>
          <w:lang w:eastAsia="pt-BR"/>
        </w:rPr>
        <w:fldChar w:fldCharType="separate"/>
      </w:r>
      <w:r w:rsidRPr="002E5394">
        <w:rPr>
          <w:rFonts w:ascii="Times New Roman" w:eastAsia="Times New Roman" w:hAnsi="Times New Roman" w:cs="Times New Roman"/>
          <w:noProof/>
          <w:color w:val="000000"/>
          <w:sz w:val="24"/>
          <w:szCs w:val="24"/>
          <w:lang w:eastAsia="pt-BR"/>
        </w:rPr>
        <w:t>(GREENWOOD et al., 2017)</w:t>
      </w:r>
      <w:r w:rsidRPr="002E5394">
        <w:rPr>
          <w:rFonts w:ascii="Times New Roman" w:eastAsia="Times New Roman" w:hAnsi="Times New Roman" w:cs="Times New Roman"/>
          <w:color w:val="000000"/>
          <w:sz w:val="24"/>
          <w:szCs w:val="24"/>
          <w:lang w:eastAsia="pt-BR"/>
        </w:rPr>
        <w:fldChar w:fldCharType="end"/>
      </w:r>
      <w:r w:rsidRPr="002E5394">
        <w:rPr>
          <w:rFonts w:ascii="Times New Roman" w:eastAsia="Times New Roman" w:hAnsi="Times New Roman" w:cs="Times New Roman"/>
          <w:color w:val="000000"/>
          <w:sz w:val="24"/>
          <w:szCs w:val="24"/>
          <w:lang w:eastAsia="pt-BR"/>
        </w:rPr>
        <w:t>. A</w:t>
      </w:r>
      <w:r w:rsidRPr="002E5394">
        <w:rPr>
          <w:rFonts w:ascii="Times New Roman" w:hAnsi="Times New Roman" w:cs="Times New Roman"/>
          <w:sz w:val="24"/>
          <w:szCs w:val="24"/>
        </w:rPr>
        <w:t xml:space="preserve">s práticas organizacionais são um reflexo direto ou uma resposta às regras e estruturas incorporadas em seu ambiente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"10.1111/j.1748-8583.2003.tb00098.x", "ISBN" : "09545395", "ISSN" : "0954-5395", "PMID" : "10927598", "abstract" : "One of the more fundamental aspects of the ongoing debate about the added value of HRM relates to `best practice versus `best-fit. Best practice suggests the universal success of certain HR practices, while best-fit acknowledges the relevant impact of contextual factors. We argue that differences in embeddedness and in institutional settings between, for example, countries affect the nature of HRM. To understand this phenomenon, we are in need of additional theory. In this article we will use the theory of new institutionalism as a better way to understand the shaping of HR policies and practices in different settings. After a concise review of the latest debates in the area of strategic HRM, in which the resource-based view is the dominant perspective, we turn to an analysis of HRM in different institutional settings, which suggests the need for additional theory: ie new institutionalism. We offer propositions to explain the impact of different institutional mechanisms, including coercive, normative and mimetic ones, on the shaping of HR policies and practices in organisations. The remainder of the article then focuses on possible implications for practitioners, theoretical implications for future research, and challenges for strategic HRM.", "author" : [ { "dropping-particle" : "", "family" : "Paauwe", "given" : "Jaap", "non-dropping-particle" : "", "parse-names" : false, "suffix" : "" }, { "dropping-particle" : "", "family" : "Boselie", "given" : "Paul", "non-dropping-particle" : "", "parse-names" : false, "suffix" : "" } ], "container-title" : "Human Resource Management Journal", "id" : "ITEM-1", "issue" : "3", "issued" : { "date-parts" : [ [ "2003" ] ] }, "page" : "56-70", "title" : "Challenging 'strategic HRM' and the relevance of the institutional setting", "type" : "article-journal", "volume" : "13" }, "uris" : [ "http://www.mendeley.com/documents/?uuid=95b29f85-60a0-3760-ac0e-efa0540f2d7b" ] } ], "mendeley" : { "formattedCitation" : "(PAAUWE; BOSELIE, 2003)", "plainTextFormattedCitation" : "(PAAUWE; BOSELIE, 2003)", "previouslyFormattedCitation" : "(PAAUWE; BOSELIE, 2003)"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(PAAUWE; BOSELIE, 2003)</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Esse ambiente institucional é fonte de legitimação, recompensas ou incentivos, bem como restrições ou sanções, para as atividades organizacionais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"10.1086/226550", "ISBN" : "0002-9602", "ISSN" : "0002-9602", "abstract" : "In modern society, organizational structures arise in highly institutionalized contexts. Institutionalized products, technologies, policies, etc, function as powerful myths and are adopted ceremonially by many organizations for legitimacy purposes, but conforming to these rules can conflict with efficiency. To keep this up, orgs buffer formal structures from the uncertainties of technical activities through loose coupling. Orgs are pulled by forces in environment as well as demands of technical function.. Organizations adopt institutional rules to gain \u201c\u2026legitimacy, resources, stability, and enhanced survival prospects\u201d (340). Prop 1. As inst rules arise, orgs form and expand by incorporating these rules as structural elements. Prop 2. more modern society means more rules means more orgs playing by these rules. Prop 3. Orgs that incorporate socially legitimated rationalized elements in their formal structures maximize their legitimacy and increase their resources and survival capabilities. Processes which generate rationalized myths of formalized structure: --Once rationalized, rationality becomes a myth with explosive organizing potential. 1. The Elaboration of Complex Relational Networks \u2013 as networks become dense, myths arise 2. The Degree of Collective Organization of the Environment \u2013 not just self-generated from organizational sources, can come from legal mandate. 3. Leadership Efforts of Local Organizations Inst isomorphism promotes the success and survival of organizations: a) orgs incorporate elements legitimated externally, rather than for efficiency reasons. Adopts org language for roles, policies, etc. Using legitimated vocab means org is assumed to be orientied to collectively defined and mandated ends \u2013 reduces risk. b) org employ external or ceremonial assessment criteria to define value of structure elements \u2013 endorsements, prizes, etc. Demonstrates socially fitness of org. c) dependence on externally fixed institutions reduces turbulence and maintains stability \u2013 org becomes part of wider collective system Conflict between institutional structure and technology: Org faces problems if on isomorphism and inst rule end of spectrum \u2013 conformity with rules conflicts with tech requirements. In fact, rules may conflict with each other. Why? Rules are general, tech is specific. Inst env can be pluralistic. Four partial solutions: 1. org can resist ceremonial requirement, (may not be accepted). 2. Maintain rigid conformity (deny technical pressu\u2026", "author" : [ { "dropping-particle" : "", "family" : "Meyer", "given" : "J W", "non-dropping-particle" : "", "parse-names" : false, "suffix" : "" }, { "dropping-particle" : "", "family" : "Rowan", "given" : "B", "non-dropping-particle" : "", "parse-names" : false, "suffix" : "" } ], "container-title" : "American Journal of Sociology", "id" : "ITEM-1", "issue" : "2", "issued" : { "date-parts" : [ [ "1977" ] ] }, "page" : "340-363", "title" : "Institutionalized Organizations: Formal Structure as Myth and Ceremonyl", "type" : "article-journal", "volume" : "83" }, "uris" : [ "http://www.mendeley.com/documents/?uuid=b98db016-0ed3-3228-b555-953162109c02" ] } ], "mendeley" : { "formattedCitation" : "(MEYER; ROWAN, 1977)", "plainTextFormattedCitation" : "(MEYER; ROWAN, 1977)", "previouslyFormattedCitation" : "(MEYER; ROWAN, 1977)"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(MEYER; ROWAN, 1977)</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w:t>
      </w:r>
    </w:p>
    <w:p w14:paraId="4BFB012F" w14:textId="77777777" w:rsidR="00554779" w:rsidRPr="002E5394" w:rsidRDefault="0055477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Segundo </w:t>
      </w:r>
      <w:r w:rsidRPr="002E5394">
        <w:rPr>
          <w:rFonts w:ascii="Times New Roman" w:hAnsi="Times New Roman" w:cs="Times New Roman"/>
          <w:noProof/>
          <w:sz w:val="24"/>
          <w:szCs w:val="24"/>
        </w:rPr>
        <w:t xml:space="preserve">Greenwood </w:t>
      </w:r>
      <w:r w:rsidRPr="002E5394">
        <w:rPr>
          <w:rFonts w:ascii="Times New Roman" w:hAnsi="Times New Roman" w:cs="Times New Roman"/>
          <w:i/>
          <w:noProof/>
          <w:sz w:val="24"/>
          <w:szCs w:val="24"/>
        </w:rPr>
        <w:t>et al.</w:t>
      </w:r>
      <w:r w:rsidRPr="002E5394">
        <w:rPr>
          <w:rFonts w:ascii="Times New Roman" w:hAnsi="Times New Roman" w:cs="Times New Roman"/>
          <w:noProof/>
          <w:sz w:val="24"/>
          <w:szCs w:val="24"/>
        </w:rPr>
        <w:t xml:space="preserve"> (2017), a</w:t>
      </w:r>
      <w:r w:rsidRPr="002E5394">
        <w:rPr>
          <w:rFonts w:ascii="Times New Roman" w:hAnsi="Times New Roman" w:cs="Times New Roman"/>
          <w:sz w:val="24"/>
          <w:szCs w:val="24"/>
        </w:rPr>
        <w:t xml:space="preserve"> abordagem institucional utilizada na análise organizacional pode ser chamada de institucionalismo organizacional. Segundo o autor, o institucionalismo organizacional tem como questão central: o que a perspectiva institucional nos diz sobre o comportamento organizacional? A Teoria Institucional tem sua ênfase nos aspectos contextuais, históricos e processuais, constituindo-se de uma lente útil para analisar o comportamento organizacional, porque pode auxiliar a responder a incompatibilidade empírica, onde o que se observa no mundo é inconsistente com as maneiras pelas quais as teorias contemporâneas tentam observar os fenômenos. </w:t>
      </w:r>
      <w:r w:rsidRPr="002E5394">
        <w:rPr>
          <w:rFonts w:ascii="Times New Roman" w:hAnsi="Times New Roman" w:cs="Times New Roman"/>
          <w:sz w:val="24"/>
          <w:szCs w:val="24"/>
        </w:rPr>
        <w:fldChar w:fldCharType="begin" w:fldLock="1"/>
      </w:r>
      <w:r w:rsidR="00A47B88" w:rsidRPr="002E5394">
        <w:rPr>
          <w:rFonts w:ascii="Times New Roman" w:hAnsi="Times New Roman" w:cs="Times New Roman"/>
          <w:sz w:val="24"/>
          <w:szCs w:val="24"/>
        </w:rPr>
        <w:instrText>ADDIN CSL_CITATION { "citationItems" : [ { "id" : "ITEM-1", "itemData" : { "author" : [ { "dropping-particle" : "", "family" : "Greenwood", "given" : "Royston", "non-dropping-particle" : "", "parse-names" : false, "suffix" : "" }, { "dropping-particle" : "", "family" : "Oliver", "given" : "Christine", "non-dropping-particle" : "", "parse-names" : false, "suffix" : "" }, { "dropping-particle" : "", "family" : "Lawrence", "given" : "Thomas B.", "non-dropping-particle" : "", "parse-names" : false, "suffix" : "" }, { "dropping-particle" : "", "family" : "Meyer", "given" : "Renate E.", "non-dropping-particle" : "", "parse-names" : false, "suffix" : "" } ], "edition" : "2", "id" : "ITEM-1", "issued" : { "date-parts" : [ [ "2017" ] ] }, "number-of-pages" : "928", "publisher" : "SAGE Publications Ltd", "publisher-place" : "London", "title" : "The Sage Handbook of Organizational Institutionalism", "type" : "book" }, "uris" : [ "http://www.mendeley.com/documents/?uuid=2caeccca-cb3f-4c61-b2df-c19a257f23e0" ] } ], "mendeley" : { "formattedCitation" : "(GREENWOOD et al., 2017)", "plainTextFormattedCitation" : "(GREENWOOD et al., 2017)", "previouslyFormattedCitation" : "(GREENWOOD et al., 2017)"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(GREENWOOD et al., 2017)</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77693EC3" w14:textId="77777777" w:rsidR="00554779" w:rsidRPr="002E5394" w:rsidRDefault="00554779" w:rsidP="002E5394">
      <w:pPr>
        <w:spacing w:after="120" w:line="240" w:lineRule="auto"/>
        <w:jc w:val="both"/>
        <w:rPr>
          <w:rFonts w:ascii="Times New Roman" w:hAnsi="Times New Roman" w:cs="Times New Roman"/>
          <w:sz w:val="24"/>
          <w:szCs w:val="24"/>
        </w:rPr>
      </w:pPr>
      <w:proofErr w:type="spellStart"/>
      <w:r w:rsidRPr="002E5394">
        <w:rPr>
          <w:rFonts w:ascii="Times New Roman" w:hAnsi="Times New Roman" w:cs="Times New Roman"/>
          <w:sz w:val="24"/>
          <w:szCs w:val="24"/>
        </w:rPr>
        <w:t>DiMaggio</w:t>
      </w:r>
      <w:proofErr w:type="spellEnd"/>
      <w:r w:rsidRPr="002E5394">
        <w:rPr>
          <w:rFonts w:ascii="Times New Roman" w:hAnsi="Times New Roman" w:cs="Times New Roman"/>
          <w:sz w:val="24"/>
          <w:szCs w:val="24"/>
        </w:rPr>
        <w:t xml:space="preserve"> e Powell (1983) realizaram uma análise dos processos institucionais observando que o contexto institucional obriga as organizações a serem isomórficas, ou seja, similares entre si, na forma e na prática. Estes autores apresentam três processos isomorfos: coercivos, miméticos </w:t>
      </w:r>
      <w:r w:rsidRPr="002E5394">
        <w:rPr>
          <w:rFonts w:ascii="Times New Roman" w:hAnsi="Times New Roman" w:cs="Times New Roman"/>
          <w:sz w:val="24"/>
          <w:szCs w:val="24"/>
        </w:rPr>
        <w:lastRenderedPageBreak/>
        <w:t>e normativos. O isomorfismo coercivo resulta de pressões formais ou informais exercidas sobre a organização pelo governo, outras organizações ou as expectativas culturais do meio ambiente. O isomorfismo mimético está associado à incerteza em metas, tecnologia ou a dinâmica do mercado, que leva os tomadores de decisão organizacionais a adotar estruturas e práticas que modelam outras organizações líderes em seus campos. Consiste na imitação de arranjos estruturais e procedimentos bem-sucedidos implementados por outras organizações. O isomorfismo normativo resulta da profissionalização, por meio de padrões e estruturas cognitivas criadas e controladas por profissões e outros órgãos de padronização moral. Envolve o compartilhamento de um conjunto de normas e métodos de trabalho por membros de segmentos ocupacionais.</w:t>
      </w:r>
    </w:p>
    <w:p w14:paraId="1B99C51D" w14:textId="77777777" w:rsidR="005D1E0F" w:rsidRPr="002E5394" w:rsidRDefault="005D1E0F" w:rsidP="002E5394">
      <w:pPr>
        <w:spacing w:after="120" w:line="240" w:lineRule="auto"/>
        <w:jc w:val="both"/>
        <w:rPr>
          <w:rFonts w:ascii="Times New Roman" w:hAnsi="Times New Roman" w:cs="Times New Roman"/>
          <w:spacing w:val="-2"/>
          <w:sz w:val="24"/>
          <w:szCs w:val="24"/>
        </w:rPr>
      </w:pPr>
      <w:r w:rsidRPr="002E5394">
        <w:rPr>
          <w:rFonts w:ascii="Times New Roman" w:hAnsi="Times New Roman" w:cs="Times New Roman"/>
          <w:spacing w:val="-2"/>
          <w:sz w:val="24"/>
          <w:szCs w:val="24"/>
        </w:rPr>
        <w:t xml:space="preserve">A mudança organizacional parte do princípio de que esse fenômeno é uma observação empírica de diferenças, ao longo de certo tempo, nas diferentes dimensões de uma organização, tanto em seu contexto interno quanto por conta de pressões provocadas pelo ambiente externo. Elementos internos englobam fatores técnicos, como estruturas, regulamentos e procedimentos, sistemas sociais, que incluem o clima organizacional e, ainda, aspectos relacionados a desempenho. Elementos externos envolvem aspectos setoriais tais como clientes, concorrentes, fornecedores e outros, bem como aspectos </w:t>
      </w:r>
      <w:r w:rsidR="002E5394" w:rsidRPr="002E5394">
        <w:rPr>
          <w:rFonts w:ascii="Times New Roman" w:hAnsi="Times New Roman" w:cs="Times New Roman"/>
          <w:spacing w:val="-2"/>
          <w:sz w:val="24"/>
          <w:szCs w:val="24"/>
        </w:rPr>
        <w:t>macro ambientais</w:t>
      </w:r>
      <w:r w:rsidRPr="002E5394">
        <w:rPr>
          <w:rFonts w:ascii="Times New Roman" w:hAnsi="Times New Roman" w:cs="Times New Roman"/>
          <w:spacing w:val="-2"/>
          <w:sz w:val="24"/>
          <w:szCs w:val="24"/>
        </w:rPr>
        <w:t xml:space="preserve">, como a tecnologia </w:t>
      </w:r>
      <w:r w:rsidRPr="002E5394">
        <w:rPr>
          <w:rFonts w:ascii="Times New Roman" w:hAnsi="Times New Roman" w:cs="Times New Roman"/>
          <w:spacing w:val="-2"/>
          <w:sz w:val="24"/>
          <w:szCs w:val="24"/>
        </w:rPr>
        <w:fldChar w:fldCharType="begin" w:fldLock="1"/>
      </w:r>
      <w:r w:rsidRPr="002E5394">
        <w:rPr>
          <w:rFonts w:ascii="Times New Roman" w:hAnsi="Times New Roman" w:cs="Times New Roman"/>
          <w:spacing w:val="-2"/>
          <w:sz w:val="24"/>
          <w:szCs w:val="24"/>
        </w:rPr>
        <w:instrText>ADDIN CSL_CITATION { "citationItems" : [ { "id" : "ITEM-1", "itemData" : { "author" : [ { "dropping-particle" : "", "family" : "Bilhim", "given" : "Jo\u00e3o Abreu de Faria", "non-dropping-particle" : "", "parse-names" : false, "suffix" : "" } ], "container-title" : "Gest\u00e3o da Mudan\u00e7a", "editor" : [ { "dropping-particle" : "da", "family" : "Costa", "given" : "Silvia Generali", "non-dropping-particle" : "", "parse-names" : false, "suffix" : "" }, { "dropping-particle" : "", "family" : "Vieira", "given" : "Leandro", "non-dropping-particle" : "", "parse-names" : false, "suffix" : "" }, { "dropping-particle" : "", "family" : "Rodrigues", "given" : "Jorge Nascimento", "non-dropping-particle" : "", "parse-names" : false, "suffix" : "" } ], "id" : "ITEM-1", "issued" : { "date-parts" : [ [ "2010" ] ] }, "page" : "214", "publisher" : "Editora Atlas", "publisher-place" : "S\u00e3o Paulo", "title" : "Mudan\u00e7a Organizacional", "type" : "chapter" }, "locator" : "6-8", "uris" : [ "http://www.mendeley.com/documents/?uuid=a0466bd7-72c6-495d-a6b4-5e66feaf0677" ] } ], "mendeley" : { "formattedCitation" : "(BILHIM, 2010, p. 6\u20138)", "plainTextFormattedCitation" : "(BILHIM, 2010, p. 6\u20138)", "previouslyFormattedCitation" : "(BILHIM, 2010, p. 6\u20138)" }, "properties" : { "noteIndex" : 0 }, "schema" : "https://github.com/citation-style-language/schema/raw/master/csl-citation.json" }</w:instrText>
      </w:r>
      <w:r w:rsidRPr="002E5394">
        <w:rPr>
          <w:rFonts w:ascii="Times New Roman" w:hAnsi="Times New Roman" w:cs="Times New Roman"/>
          <w:spacing w:val="-2"/>
          <w:sz w:val="24"/>
          <w:szCs w:val="24"/>
        </w:rPr>
        <w:fldChar w:fldCharType="separate"/>
      </w:r>
      <w:r w:rsidRPr="002E5394">
        <w:rPr>
          <w:rFonts w:ascii="Times New Roman" w:hAnsi="Times New Roman" w:cs="Times New Roman"/>
          <w:noProof/>
          <w:spacing w:val="-2"/>
          <w:sz w:val="24"/>
          <w:szCs w:val="24"/>
        </w:rPr>
        <w:t>(BILHIM, 2010, p. 6–8)</w:t>
      </w:r>
      <w:r w:rsidRPr="002E5394">
        <w:rPr>
          <w:rFonts w:ascii="Times New Roman" w:hAnsi="Times New Roman" w:cs="Times New Roman"/>
          <w:spacing w:val="-2"/>
          <w:sz w:val="24"/>
          <w:szCs w:val="24"/>
        </w:rPr>
        <w:fldChar w:fldCharType="end"/>
      </w:r>
      <w:r w:rsidRPr="002E5394">
        <w:rPr>
          <w:rFonts w:ascii="Times New Roman" w:hAnsi="Times New Roman" w:cs="Times New Roman"/>
          <w:spacing w:val="-2"/>
          <w:sz w:val="24"/>
          <w:szCs w:val="24"/>
        </w:rPr>
        <w:t xml:space="preserve">. </w:t>
      </w:r>
    </w:p>
    <w:p w14:paraId="752BB031" w14:textId="77777777" w:rsidR="0080122A" w:rsidRPr="002E5394" w:rsidRDefault="0080122A"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 arco conceitual </w:t>
      </w:r>
      <w:r w:rsidR="005D1E0F" w:rsidRPr="002E5394">
        <w:rPr>
          <w:rFonts w:ascii="Times New Roman" w:hAnsi="Times New Roman" w:cs="Times New Roman"/>
          <w:sz w:val="24"/>
          <w:szCs w:val="24"/>
        </w:rPr>
        <w:t>utilizado</w:t>
      </w:r>
      <w:r w:rsidRPr="002E5394">
        <w:rPr>
          <w:rFonts w:ascii="Times New Roman" w:hAnsi="Times New Roman" w:cs="Times New Roman"/>
          <w:sz w:val="24"/>
          <w:szCs w:val="24"/>
        </w:rPr>
        <w:t xml:space="preserve"> para a análise de resultados é </w:t>
      </w:r>
      <w:r w:rsidR="005D1E0F" w:rsidRPr="002E5394">
        <w:rPr>
          <w:rFonts w:ascii="Times New Roman" w:hAnsi="Times New Roman" w:cs="Times New Roman"/>
          <w:sz w:val="24"/>
          <w:szCs w:val="24"/>
        </w:rPr>
        <w:t>amplo</w:t>
      </w:r>
      <w:r w:rsidRPr="002E5394">
        <w:rPr>
          <w:rFonts w:ascii="Times New Roman" w:hAnsi="Times New Roman" w:cs="Times New Roman"/>
          <w:sz w:val="24"/>
          <w:szCs w:val="24"/>
        </w:rPr>
        <w:t xml:space="preserve"> e, buscando clarificar os pressupostos teóricos assumidos nesta pesquisa, sem a expectativa de esgotar estes temas e na impossibilidade de cobrir o fenômeno sob todas as abordagens, optou-se por algumas escolhas epistemológicas que parecem adequadas na busca dos objetivos do presente estudo, que apresentamos sinteticamente no quadro a seguir:</w:t>
      </w:r>
    </w:p>
    <w:p w14:paraId="28132CA8" w14:textId="77777777" w:rsidR="0080122A" w:rsidRPr="002E5394" w:rsidRDefault="0080122A" w:rsidP="002E5394">
      <w:pPr>
        <w:spacing w:after="120" w:line="240" w:lineRule="auto"/>
        <w:jc w:val="both"/>
        <w:rPr>
          <w:rFonts w:ascii="Times New Roman" w:hAnsi="Times New Roman" w:cs="Times New Roman"/>
          <w:b/>
          <w:sz w:val="24"/>
          <w:szCs w:val="24"/>
        </w:rPr>
      </w:pPr>
      <w:bookmarkStart w:id="2" w:name="_Toc503964541"/>
      <w:r w:rsidRPr="002E5394">
        <w:rPr>
          <w:rFonts w:ascii="Times New Roman" w:hAnsi="Times New Roman" w:cs="Times New Roman"/>
          <w:b/>
          <w:sz w:val="24"/>
          <w:szCs w:val="24"/>
        </w:rPr>
        <w:t>Quadro 1</w:t>
      </w:r>
      <w:r w:rsidRPr="002E5394">
        <w:rPr>
          <w:rFonts w:ascii="Times New Roman" w:hAnsi="Times New Roman" w:cs="Times New Roman"/>
          <w:b/>
          <w:noProof/>
          <w:sz w:val="24"/>
          <w:szCs w:val="24"/>
        </w:rPr>
        <w:t xml:space="preserve"> - </w:t>
      </w:r>
      <w:r w:rsidRPr="002E5394">
        <w:rPr>
          <w:rFonts w:ascii="Times New Roman" w:hAnsi="Times New Roman" w:cs="Times New Roman"/>
          <w:b/>
          <w:sz w:val="24"/>
          <w:szCs w:val="24"/>
        </w:rPr>
        <w:t>Síntese de escolhas conceituais da pesquisa</w:t>
      </w:r>
      <w:bookmarkEnd w:id="2"/>
    </w:p>
    <w:tbl>
      <w:tblPr>
        <w:tblStyle w:val="TabeladeGrade1Clara2"/>
        <w:tblW w:w="9072" w:type="dxa"/>
        <w:tblLook w:val="04A0" w:firstRow="1" w:lastRow="0" w:firstColumn="1" w:lastColumn="0" w:noHBand="0" w:noVBand="1"/>
      </w:tblPr>
      <w:tblGrid>
        <w:gridCol w:w="1276"/>
        <w:gridCol w:w="5807"/>
        <w:gridCol w:w="1989"/>
      </w:tblGrid>
      <w:tr w:rsidR="0080122A" w:rsidRPr="002E5394" w14:paraId="45F0243B" w14:textId="77777777" w:rsidTr="005D1E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02A4EF65" w14:textId="77777777" w:rsidR="0080122A" w:rsidRPr="002E5394" w:rsidRDefault="0080122A" w:rsidP="002E5394">
            <w:pPr>
              <w:jc w:val="center"/>
              <w:rPr>
                <w:rFonts w:ascii="Times New Roman" w:hAnsi="Times New Roman" w:cs="Times New Roman"/>
                <w:sz w:val="18"/>
                <w:szCs w:val="18"/>
              </w:rPr>
            </w:pPr>
            <w:r w:rsidRPr="002E5394">
              <w:rPr>
                <w:rFonts w:ascii="Times New Roman" w:hAnsi="Times New Roman" w:cs="Times New Roman"/>
                <w:sz w:val="18"/>
                <w:szCs w:val="18"/>
              </w:rPr>
              <w:t>Conceito</w:t>
            </w:r>
          </w:p>
        </w:tc>
        <w:tc>
          <w:tcPr>
            <w:tcW w:w="5807" w:type="dxa"/>
          </w:tcPr>
          <w:p w14:paraId="0C809850" w14:textId="77777777" w:rsidR="0080122A" w:rsidRPr="002E5394" w:rsidRDefault="0080122A" w:rsidP="002E539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Definição</w:t>
            </w:r>
          </w:p>
        </w:tc>
        <w:tc>
          <w:tcPr>
            <w:tcW w:w="1989" w:type="dxa"/>
          </w:tcPr>
          <w:p w14:paraId="3C5FE565" w14:textId="77777777" w:rsidR="0080122A" w:rsidRPr="002E5394" w:rsidRDefault="0080122A" w:rsidP="002E539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Autores de referência</w:t>
            </w:r>
          </w:p>
        </w:tc>
      </w:tr>
      <w:tr w:rsidR="0080122A" w:rsidRPr="002E5394" w14:paraId="4457F644"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28AAC01B"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Mudança organizacional</w:t>
            </w:r>
          </w:p>
        </w:tc>
        <w:tc>
          <w:tcPr>
            <w:tcW w:w="5807" w:type="dxa"/>
          </w:tcPr>
          <w:p w14:paraId="39988907"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Observação empírica de diferenças, nas diferentes dimensões de uma organização, tanto em seu contexto interno quanto por conta de pressões exógenas provocadas pelo ambiente externo. Mudanças energizam novas políticas, processos, atitudes e práticas da ARH.</w:t>
            </w:r>
          </w:p>
        </w:tc>
        <w:tc>
          <w:tcPr>
            <w:tcW w:w="1989" w:type="dxa"/>
          </w:tcPr>
          <w:p w14:paraId="2BCD9461"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E5394">
              <w:rPr>
                <w:rFonts w:ascii="Times New Roman" w:hAnsi="Times New Roman" w:cs="Times New Roman"/>
                <w:sz w:val="18"/>
                <w:szCs w:val="18"/>
                <w:lang w:val="en-US"/>
              </w:rPr>
              <w:t>Lewin (1951)</w:t>
            </w:r>
          </w:p>
          <w:p w14:paraId="08C227FB"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E5394">
              <w:rPr>
                <w:rFonts w:ascii="Times New Roman" w:hAnsi="Times New Roman" w:cs="Times New Roman"/>
                <w:sz w:val="18"/>
                <w:szCs w:val="18"/>
                <w:lang w:val="en-US"/>
              </w:rPr>
              <w:t xml:space="preserve">Pettigrew e </w:t>
            </w:r>
            <w:proofErr w:type="spellStart"/>
            <w:r w:rsidRPr="002E5394">
              <w:rPr>
                <w:rFonts w:ascii="Times New Roman" w:hAnsi="Times New Roman" w:cs="Times New Roman"/>
                <w:sz w:val="18"/>
                <w:szCs w:val="18"/>
                <w:lang w:val="en-US"/>
              </w:rPr>
              <w:t>Whipp</w:t>
            </w:r>
            <w:proofErr w:type="spellEnd"/>
            <w:r w:rsidRPr="002E5394">
              <w:rPr>
                <w:rFonts w:ascii="Times New Roman" w:hAnsi="Times New Roman" w:cs="Times New Roman"/>
                <w:sz w:val="18"/>
                <w:szCs w:val="18"/>
                <w:lang w:val="en-US"/>
              </w:rPr>
              <w:t xml:space="preserve"> (1993)</w:t>
            </w:r>
          </w:p>
          <w:p w14:paraId="1B847A63"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proofErr w:type="spellStart"/>
            <w:r w:rsidRPr="002E5394">
              <w:rPr>
                <w:rFonts w:ascii="Times New Roman" w:hAnsi="Times New Roman" w:cs="Times New Roman"/>
                <w:sz w:val="18"/>
                <w:szCs w:val="18"/>
                <w:lang w:val="en-US"/>
              </w:rPr>
              <w:t>Bilhim</w:t>
            </w:r>
            <w:proofErr w:type="spellEnd"/>
            <w:r w:rsidRPr="002E5394">
              <w:rPr>
                <w:rFonts w:ascii="Times New Roman" w:hAnsi="Times New Roman" w:cs="Times New Roman"/>
                <w:sz w:val="18"/>
                <w:szCs w:val="18"/>
                <w:lang w:val="en-US"/>
              </w:rPr>
              <w:t xml:space="preserve">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lang w:val="en-US"/>
              </w:rPr>
              <w:instrText>ADDIN CSL_CITATION { "citationItems" : [ { "id" : "ITEM-1", "itemData" : { "author" : [ { "dropping-particle" : "", "family" : "Bilhim", "given" : "Jo\u00e3o Abreu de Faria", "non-dropping-particle" : "", "parse-names" : false, "suffix" : "" } ], "container-title" : "Gest\u00e3o da Mudan\u00e7a", "editor" : [ { "dropping-particle" : "da", "family" : "Costa", "given" : "Silvia Generali", "non-dropping-particle" : "", "parse-names" : false, "suffix" : "" }, { "dropping-particle" : "", "family" : "Vieira", "given" : "Leandro", "non-dropping-particle" : "", "parse-names" : false, "suffix" : "" }, { "dropping-particle" : "", "family" : "Rodrigues", "given" : "Jorge Nascimento", "non-dropping-particle" : "", "parse-names" : false, "suffix" : "" } ], "id" : "ITEM-1", "issued" : { "date-parts" : [ [ "2010" ] ] }, "page" : "214", "publisher" : "Editora Atlas", "publisher-place" : "S\u00e3o Paulo", "title" : "Mudan\u00e7a Organizacional", "type" : "chapter" }, "locator" : "6-8", "uris" : [ "http://www.mendeley.com/documents/?uuid=a0466bd7-72c6-495d-a6b4-5e66feaf0677" ] } ], "mendeley" : { "formattedCitation" : "(BILHIM, 2010, p. 6\u20138)", "manualFormatting" : "(2010)", "plainTextFormattedCitation" : "(BILHIM, 2010, p. 6\u20138)", "previouslyFormattedCitation" : "(BILHIM, 2010, p. 6\u20138)"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lang w:val="en-US"/>
              </w:rPr>
              <w:t>(2010)</w:t>
            </w:r>
            <w:r w:rsidRPr="002E5394">
              <w:rPr>
                <w:rFonts w:ascii="Times New Roman" w:hAnsi="Times New Roman" w:cs="Times New Roman"/>
                <w:sz w:val="18"/>
                <w:szCs w:val="18"/>
              </w:rPr>
              <w:fldChar w:fldCharType="end"/>
            </w:r>
          </w:p>
        </w:tc>
      </w:tr>
      <w:tr w:rsidR="0080122A" w:rsidRPr="002E5394" w14:paraId="2CEF1E84"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7D8F616C"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Isoformismo</w:t>
            </w:r>
          </w:p>
          <w:p w14:paraId="00995A75" w14:textId="77777777" w:rsidR="0080122A" w:rsidRPr="002E5394" w:rsidRDefault="0080122A" w:rsidP="002E5394">
            <w:pPr>
              <w:jc w:val="center"/>
              <w:rPr>
                <w:rFonts w:ascii="Times New Roman" w:hAnsi="Times New Roman" w:cs="Times New Roman"/>
                <w:b w:val="0"/>
                <w:sz w:val="18"/>
                <w:szCs w:val="18"/>
              </w:rPr>
            </w:pPr>
          </w:p>
        </w:tc>
        <w:tc>
          <w:tcPr>
            <w:tcW w:w="5807" w:type="dxa"/>
          </w:tcPr>
          <w:p w14:paraId="162FF57A"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As organizações podem mudar constantemente, mas depois de certo nível de estruturação de uma determinada área organizacional, o efeito agregado de cada mudança leva à homogeneidade dentro dessa área. As mudanças nas estruturas organizacionais deixaram de ser impulsionadas pela concorrência e necessidade de eficiência, resultando em processos que tornam as organizações mais similares, sem necessariamente serem mais eficientes. O conceito que representa esse processo de homogeneização é o isomorfismo.</w:t>
            </w:r>
          </w:p>
        </w:tc>
        <w:tc>
          <w:tcPr>
            <w:tcW w:w="1989" w:type="dxa"/>
          </w:tcPr>
          <w:p w14:paraId="48E8FAEC"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roofErr w:type="spellStart"/>
            <w:r w:rsidRPr="002E5394">
              <w:rPr>
                <w:rFonts w:ascii="Times New Roman" w:hAnsi="Times New Roman" w:cs="Times New Roman"/>
                <w:sz w:val="18"/>
                <w:szCs w:val="18"/>
              </w:rPr>
              <w:t>Dimaggio</w:t>
            </w:r>
            <w:proofErr w:type="spellEnd"/>
            <w:r w:rsidRPr="002E5394">
              <w:rPr>
                <w:rFonts w:ascii="Times New Roman" w:hAnsi="Times New Roman" w:cs="Times New Roman"/>
                <w:sz w:val="18"/>
                <w:szCs w:val="18"/>
              </w:rPr>
              <w:t xml:space="preserve"> e Powell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rPr>
              <w:instrText>ADDIN CSL_CITATION { "citationItems" : [ { "id" : "ITEM-1", "itemData" : { "author" : [ { "dropping-particle" : "", "family" : "DiMaggio", "given" : "Paul J .", "non-dropping-particle" : "", "parse-names" : false, "suffix" : "" }, { "dropping-particle" : "", "family" : "Powell", "given" : "Walter W .", "non-dropping-particle" : "", "parse-names" : false, "suffix" : "" } ], "container-title" : "American Sociological Review", "id" : "ITEM-1", "issue" : "2", "issued" : { "date-parts" : [ [ "1983" ] ] }, "page" : "147-160", "title" : "The Iron Cage Revisited : Institutional Isomorphism and Collective Rationality in Organizational Fields", "type" : "article-journal", "volume" : "48" }, "uris" : [ "http://www.mendeley.com/documents/?uuid=dfa17f6a-9158-496d-8df0-edc4fc6e6387" ] } ], "mendeley" : { "formattedCitation" : "(DIMAGGIO; POWELL, 1983)", "manualFormatting" : "(1983)", "plainTextFormattedCitation" : "(DIMAGGIO; POWELL, 1983)", "previouslyFormattedCitation" : "(DIMAGGIO; POWELL, 1983)"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rPr>
              <w:t>(1983)</w:t>
            </w:r>
            <w:r w:rsidRPr="002E5394">
              <w:rPr>
                <w:rFonts w:ascii="Times New Roman" w:hAnsi="Times New Roman" w:cs="Times New Roman"/>
                <w:sz w:val="18"/>
                <w:szCs w:val="18"/>
              </w:rPr>
              <w:fldChar w:fldCharType="end"/>
            </w:r>
          </w:p>
        </w:tc>
      </w:tr>
      <w:tr w:rsidR="0080122A" w:rsidRPr="002E5394" w14:paraId="3E797051"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6C7289F6"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Isomorfismo coercivo</w:t>
            </w:r>
          </w:p>
        </w:tc>
        <w:tc>
          <w:tcPr>
            <w:tcW w:w="5807" w:type="dxa"/>
          </w:tcPr>
          <w:p w14:paraId="0123A4AC"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Resulta de pressões formais ou informais exercidas sobre a organização pelo governo, outras organizações ou as expectativas culturais do meio ambiente</w:t>
            </w:r>
          </w:p>
        </w:tc>
        <w:tc>
          <w:tcPr>
            <w:tcW w:w="1989" w:type="dxa"/>
          </w:tcPr>
          <w:p w14:paraId="4F71092A"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roofErr w:type="spellStart"/>
            <w:r w:rsidRPr="002E5394">
              <w:rPr>
                <w:rFonts w:ascii="Times New Roman" w:hAnsi="Times New Roman" w:cs="Times New Roman"/>
                <w:sz w:val="18"/>
                <w:szCs w:val="18"/>
              </w:rPr>
              <w:t>Dimaggio</w:t>
            </w:r>
            <w:proofErr w:type="spellEnd"/>
            <w:r w:rsidRPr="002E5394">
              <w:rPr>
                <w:rFonts w:ascii="Times New Roman" w:hAnsi="Times New Roman" w:cs="Times New Roman"/>
                <w:sz w:val="18"/>
                <w:szCs w:val="18"/>
              </w:rPr>
              <w:t xml:space="preserve"> e Powell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rPr>
              <w:instrText>ADDIN CSL_CITATION { "citationItems" : [ { "id" : "ITEM-1", "itemData" : { "author" : [ { "dropping-particle" : "", "family" : "DiMaggio", "given" : "Paul J .", "non-dropping-particle" : "", "parse-names" : false, "suffix" : "" }, { "dropping-particle" : "", "family" : "Powell", "given" : "Walter W .", "non-dropping-particle" : "", "parse-names" : false, "suffix" : "" } ], "container-title" : "American Sociological Review", "id" : "ITEM-1", "issue" : "2", "issued" : { "date-parts" : [ [ "1983" ] ] }, "page" : "147-160", "title" : "The Iron Cage Revisited : Institutional Isomorphism and Collective Rationality in Organizational Fields", "type" : "article-journal", "volume" : "48" }, "uris" : [ "http://www.mendeley.com/documents/?uuid=dfa17f6a-9158-496d-8df0-edc4fc6e6387" ] } ], "mendeley" : { "formattedCitation" : "(DIMAGGIO; POWELL, 1983)", "manualFormatting" : "(1983)", "plainTextFormattedCitation" : "(DIMAGGIO; POWELL, 1983)", "previouslyFormattedCitation" : "(DIMAGGIO; POWELL, 1983)"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rPr>
              <w:t>(1983)</w:t>
            </w:r>
            <w:r w:rsidRPr="002E5394">
              <w:rPr>
                <w:rFonts w:ascii="Times New Roman" w:hAnsi="Times New Roman" w:cs="Times New Roman"/>
                <w:sz w:val="18"/>
                <w:szCs w:val="18"/>
              </w:rPr>
              <w:fldChar w:fldCharType="end"/>
            </w:r>
          </w:p>
        </w:tc>
      </w:tr>
      <w:tr w:rsidR="0080122A" w:rsidRPr="002E5394" w14:paraId="4185BEC2"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53D6B37C"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Isomorfismo mimético</w:t>
            </w:r>
          </w:p>
        </w:tc>
        <w:tc>
          <w:tcPr>
            <w:tcW w:w="5807" w:type="dxa"/>
          </w:tcPr>
          <w:p w14:paraId="6EB070A3"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Associado à incerteza em metas, tecnologia ou a dinâmica do mercado, que leva os tomadores de decisão organizacionais a adotar estruturas e práticas que modelam outras organizações líderes em seus campos. Consiste na imitação de arranjos estruturais e procedimentos bem-sucedidos implementados por outras organizações</w:t>
            </w:r>
          </w:p>
        </w:tc>
        <w:tc>
          <w:tcPr>
            <w:tcW w:w="1989" w:type="dxa"/>
          </w:tcPr>
          <w:p w14:paraId="01DE2032"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roofErr w:type="spellStart"/>
            <w:r w:rsidRPr="002E5394">
              <w:rPr>
                <w:rFonts w:ascii="Times New Roman" w:hAnsi="Times New Roman" w:cs="Times New Roman"/>
                <w:sz w:val="18"/>
                <w:szCs w:val="18"/>
              </w:rPr>
              <w:t>Dimaggio</w:t>
            </w:r>
            <w:proofErr w:type="spellEnd"/>
            <w:r w:rsidRPr="002E5394">
              <w:rPr>
                <w:rFonts w:ascii="Times New Roman" w:hAnsi="Times New Roman" w:cs="Times New Roman"/>
                <w:sz w:val="18"/>
                <w:szCs w:val="18"/>
              </w:rPr>
              <w:t xml:space="preserve"> e Powell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rPr>
              <w:instrText>ADDIN CSL_CITATION { "citationItems" : [ { "id" : "ITEM-1", "itemData" : { "author" : [ { "dropping-particle" : "", "family" : "DiMaggio", "given" : "Paul J .", "non-dropping-particle" : "", "parse-names" : false, "suffix" : "" }, { "dropping-particle" : "", "family" : "Powell", "given" : "Walter W .", "non-dropping-particle" : "", "parse-names" : false, "suffix" : "" } ], "container-title" : "American Sociological Review", "id" : "ITEM-1", "issue" : "2", "issued" : { "date-parts" : [ [ "1983" ] ] }, "page" : "147-160", "title" : "The Iron Cage Revisited : Institutional Isomorphism and Collective Rationality in Organizational Fields", "type" : "article-journal", "volume" : "48" }, "uris" : [ "http://www.mendeley.com/documents/?uuid=dfa17f6a-9158-496d-8df0-edc4fc6e6387" ] } ], "mendeley" : { "formattedCitation" : "(DIMAGGIO; POWELL, 1983)", "manualFormatting" : "(1983)", "plainTextFormattedCitation" : "(DIMAGGIO; POWELL, 1983)", "previouslyFormattedCitation" : "(DIMAGGIO; POWELL, 1983)"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rPr>
              <w:t>(1983)</w:t>
            </w:r>
            <w:r w:rsidRPr="002E5394">
              <w:rPr>
                <w:rFonts w:ascii="Times New Roman" w:hAnsi="Times New Roman" w:cs="Times New Roman"/>
                <w:sz w:val="18"/>
                <w:szCs w:val="18"/>
              </w:rPr>
              <w:fldChar w:fldCharType="end"/>
            </w:r>
          </w:p>
        </w:tc>
      </w:tr>
      <w:tr w:rsidR="0080122A" w:rsidRPr="002E5394" w14:paraId="148A6D0A"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42F3F2D8"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Isomorfismo normativo</w:t>
            </w:r>
          </w:p>
        </w:tc>
        <w:tc>
          <w:tcPr>
            <w:tcW w:w="5807" w:type="dxa"/>
          </w:tcPr>
          <w:p w14:paraId="23B81533"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Resulta da profissionalização, por meio de padrões e estruturas cognitivas criadas e controladas por profissões e outros órgãos de padronização moral. Envolve o compartilhamento de um conjunto de normas e métodos de trabalho por membros de segmentos ocupacionais</w:t>
            </w:r>
          </w:p>
        </w:tc>
        <w:tc>
          <w:tcPr>
            <w:tcW w:w="1989" w:type="dxa"/>
          </w:tcPr>
          <w:p w14:paraId="6811F900"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roofErr w:type="spellStart"/>
            <w:r w:rsidRPr="002E5394">
              <w:rPr>
                <w:rFonts w:ascii="Times New Roman" w:hAnsi="Times New Roman" w:cs="Times New Roman"/>
                <w:sz w:val="18"/>
                <w:szCs w:val="18"/>
              </w:rPr>
              <w:t>Dimaggio</w:t>
            </w:r>
            <w:proofErr w:type="spellEnd"/>
            <w:r w:rsidRPr="002E5394">
              <w:rPr>
                <w:rFonts w:ascii="Times New Roman" w:hAnsi="Times New Roman" w:cs="Times New Roman"/>
                <w:sz w:val="18"/>
                <w:szCs w:val="18"/>
              </w:rPr>
              <w:t xml:space="preserve"> e Powell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rPr>
              <w:instrText>ADDIN CSL_CITATION { "citationItems" : [ { "id" : "ITEM-1", "itemData" : { "author" : [ { "dropping-particle" : "", "family" : "DiMaggio", "given" : "Paul J .", "non-dropping-particle" : "", "parse-names" : false, "suffix" : "" }, { "dropping-particle" : "", "family" : "Powell", "given" : "Walter W .", "non-dropping-particle" : "", "parse-names" : false, "suffix" : "" } ], "container-title" : "American Sociological Review", "id" : "ITEM-1", "issue" : "2", "issued" : { "date-parts" : [ [ "1983" ] ] }, "page" : "147-160", "title" : "The Iron Cage Revisited : Institutional Isomorphism and Collective Rationality in Organizational Fields", "type" : "article-journal", "volume" : "48" }, "uris" : [ "http://www.mendeley.com/documents/?uuid=dfa17f6a-9158-496d-8df0-edc4fc6e6387" ] } ], "mendeley" : { "formattedCitation" : "(DIMAGGIO; POWELL, 1983)", "manualFormatting" : "(1983)", "plainTextFormattedCitation" : "(DIMAGGIO; POWELL, 1983)", "previouslyFormattedCitation" : "(DIMAGGIO; POWELL, 1983)"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rPr>
              <w:t>(1983)</w:t>
            </w:r>
            <w:r w:rsidRPr="002E5394">
              <w:rPr>
                <w:rFonts w:ascii="Times New Roman" w:hAnsi="Times New Roman" w:cs="Times New Roman"/>
                <w:sz w:val="18"/>
                <w:szCs w:val="18"/>
              </w:rPr>
              <w:fldChar w:fldCharType="end"/>
            </w:r>
          </w:p>
        </w:tc>
      </w:tr>
      <w:tr w:rsidR="0080122A" w:rsidRPr="002E5394" w14:paraId="5788822A"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1D85CBA9"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Estratégias de RH</w:t>
            </w:r>
          </w:p>
          <w:p w14:paraId="30E2E09F" w14:textId="77777777" w:rsidR="0080122A" w:rsidRPr="002E5394" w:rsidRDefault="0080122A" w:rsidP="002E5394">
            <w:pPr>
              <w:jc w:val="center"/>
              <w:rPr>
                <w:rFonts w:ascii="Times New Roman" w:eastAsia="Times New Roman" w:hAnsi="Times New Roman" w:cs="Times New Roman"/>
                <w:b w:val="0"/>
                <w:spacing w:val="-1"/>
                <w:sz w:val="18"/>
                <w:szCs w:val="18"/>
              </w:rPr>
            </w:pPr>
          </w:p>
          <w:p w14:paraId="0ACFFF85" w14:textId="77777777" w:rsidR="0080122A" w:rsidRPr="002E5394" w:rsidRDefault="0080122A" w:rsidP="002E5394">
            <w:pPr>
              <w:jc w:val="center"/>
              <w:rPr>
                <w:rFonts w:ascii="Times New Roman" w:hAnsi="Times New Roman" w:cs="Times New Roman"/>
                <w:b w:val="0"/>
                <w:sz w:val="18"/>
                <w:szCs w:val="18"/>
              </w:rPr>
            </w:pPr>
          </w:p>
        </w:tc>
        <w:tc>
          <w:tcPr>
            <w:tcW w:w="5807" w:type="dxa"/>
          </w:tcPr>
          <w:p w14:paraId="688A36EE"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As estratégias que definem as diretrizes para a gestão da ARH de determinada organização, reconhecendo os impactos do ambiente organizacional externo, o impacto da competição e da dinâmica do mercado de trabalho; apresentando foco no longo prazo, enfatizando a escolha e a tomada de decisão, considerando todas as pessoas da organização, integrada com a estratégia corporativa e com as demais estratégias funcionais.</w:t>
            </w:r>
          </w:p>
        </w:tc>
        <w:tc>
          <w:tcPr>
            <w:tcW w:w="1989" w:type="dxa"/>
          </w:tcPr>
          <w:p w14:paraId="196A2959"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r w:rsidRPr="002E5394">
              <w:rPr>
                <w:rFonts w:ascii="Times New Roman" w:eastAsia="Times New Roman" w:hAnsi="Times New Roman" w:cs="Times New Roman"/>
                <w:spacing w:val="-1"/>
                <w:sz w:val="18"/>
                <w:szCs w:val="18"/>
              </w:rPr>
              <w:t xml:space="preserve">Anthony, </w:t>
            </w:r>
            <w:proofErr w:type="spellStart"/>
            <w:r w:rsidRPr="002E5394">
              <w:rPr>
                <w:rFonts w:ascii="Times New Roman" w:eastAsia="Times New Roman" w:hAnsi="Times New Roman" w:cs="Times New Roman"/>
                <w:spacing w:val="-1"/>
                <w:sz w:val="18"/>
                <w:szCs w:val="18"/>
              </w:rPr>
              <w:t>Kacmar</w:t>
            </w:r>
            <w:proofErr w:type="spellEnd"/>
            <w:r w:rsidRPr="002E5394">
              <w:rPr>
                <w:rFonts w:ascii="Times New Roman" w:eastAsia="Times New Roman" w:hAnsi="Times New Roman" w:cs="Times New Roman"/>
                <w:spacing w:val="-1"/>
                <w:sz w:val="18"/>
                <w:szCs w:val="18"/>
              </w:rPr>
              <w:t xml:space="preserve"> e </w:t>
            </w:r>
            <w:proofErr w:type="spellStart"/>
            <w:r w:rsidRPr="002E5394">
              <w:rPr>
                <w:rFonts w:ascii="Times New Roman" w:eastAsia="Times New Roman" w:hAnsi="Times New Roman" w:cs="Times New Roman"/>
                <w:spacing w:val="-1"/>
                <w:sz w:val="18"/>
                <w:szCs w:val="18"/>
              </w:rPr>
              <w:t>Perrewe</w:t>
            </w:r>
            <w:proofErr w:type="spellEnd"/>
            <w:r w:rsidRPr="002E5394">
              <w:rPr>
                <w:rFonts w:ascii="Times New Roman" w:eastAsia="Times New Roman" w:hAnsi="Times New Roman" w:cs="Times New Roman"/>
                <w:spacing w:val="-1"/>
                <w:sz w:val="18"/>
                <w:szCs w:val="18"/>
              </w:rPr>
              <w:t xml:space="preserve"> (2009)</w:t>
            </w:r>
          </w:p>
          <w:p w14:paraId="18C0E97E"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
          <w:p w14:paraId="3BCA360E"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eastAsia="Times New Roman" w:hAnsi="Times New Roman" w:cs="Times New Roman"/>
                <w:spacing w:val="-1"/>
                <w:sz w:val="18"/>
                <w:szCs w:val="18"/>
              </w:rPr>
              <w:t>Martín-</w:t>
            </w:r>
            <w:proofErr w:type="spellStart"/>
            <w:r w:rsidRPr="002E5394">
              <w:rPr>
                <w:rFonts w:ascii="Times New Roman" w:eastAsia="Times New Roman" w:hAnsi="Times New Roman" w:cs="Times New Roman"/>
                <w:spacing w:val="-1"/>
                <w:sz w:val="18"/>
                <w:szCs w:val="18"/>
              </w:rPr>
              <w:t>Alcázar</w:t>
            </w:r>
            <w:proofErr w:type="spellEnd"/>
            <w:r w:rsidRPr="002E5394">
              <w:rPr>
                <w:rFonts w:ascii="Times New Roman" w:eastAsia="Times New Roman" w:hAnsi="Times New Roman" w:cs="Times New Roman"/>
                <w:spacing w:val="-1"/>
                <w:sz w:val="18"/>
                <w:szCs w:val="18"/>
              </w:rPr>
              <w:t xml:space="preserve"> </w:t>
            </w:r>
            <w:r w:rsidRPr="002E5394">
              <w:rPr>
                <w:rFonts w:ascii="Times New Roman" w:eastAsia="Times New Roman" w:hAnsi="Times New Roman" w:cs="Times New Roman"/>
                <w:i/>
                <w:spacing w:val="-1"/>
                <w:sz w:val="18"/>
                <w:szCs w:val="18"/>
              </w:rPr>
              <w:t>et al</w:t>
            </w:r>
            <w:r w:rsidRPr="002E5394">
              <w:rPr>
                <w:rFonts w:ascii="Times New Roman" w:eastAsia="Times New Roman" w:hAnsi="Times New Roman" w:cs="Times New Roman"/>
                <w:spacing w:val="-1"/>
                <w:sz w:val="18"/>
                <w:szCs w:val="18"/>
              </w:rPr>
              <w:t xml:space="preserve"> (2015)</w:t>
            </w:r>
          </w:p>
        </w:tc>
      </w:tr>
    </w:tbl>
    <w:p w14:paraId="2AF65F40" w14:textId="77777777" w:rsidR="002E5394" w:rsidRDefault="002E5394" w:rsidP="002E5394">
      <w:pPr>
        <w:jc w:val="center"/>
        <w:rPr>
          <w:rFonts w:ascii="Times New Roman" w:hAnsi="Times New Roman" w:cs="Times New Roman"/>
        </w:rPr>
      </w:pPr>
      <w:r w:rsidRPr="002E5394">
        <w:rPr>
          <w:rFonts w:ascii="Times New Roman" w:hAnsi="Times New Roman" w:cs="Times New Roman"/>
        </w:rPr>
        <w:t>(continua)</w:t>
      </w:r>
    </w:p>
    <w:p w14:paraId="48B0D37F" w14:textId="77777777" w:rsidR="002E5394" w:rsidRDefault="002E5394" w:rsidP="002E5394">
      <w:pPr>
        <w:jc w:val="center"/>
        <w:rPr>
          <w:rFonts w:ascii="Times New Roman" w:hAnsi="Times New Roman" w:cs="Times New Roman"/>
        </w:rPr>
      </w:pPr>
    </w:p>
    <w:tbl>
      <w:tblPr>
        <w:tblStyle w:val="TabeladeGrade1Clara2"/>
        <w:tblW w:w="9072" w:type="dxa"/>
        <w:tblLook w:val="04A0" w:firstRow="1" w:lastRow="0" w:firstColumn="1" w:lastColumn="0" w:noHBand="0" w:noVBand="1"/>
      </w:tblPr>
      <w:tblGrid>
        <w:gridCol w:w="1276"/>
        <w:gridCol w:w="5807"/>
        <w:gridCol w:w="1989"/>
      </w:tblGrid>
      <w:tr w:rsidR="002E5394" w:rsidRPr="002E5394" w14:paraId="1E12E0F7" w14:textId="77777777" w:rsidTr="002E53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2AE8049" w14:textId="77777777" w:rsidR="002E5394" w:rsidRPr="002E5394" w:rsidRDefault="002E5394" w:rsidP="006805F5">
            <w:pPr>
              <w:jc w:val="center"/>
              <w:rPr>
                <w:rFonts w:ascii="Times New Roman" w:hAnsi="Times New Roman" w:cs="Times New Roman"/>
                <w:sz w:val="18"/>
                <w:szCs w:val="18"/>
              </w:rPr>
            </w:pPr>
            <w:r w:rsidRPr="002E5394">
              <w:rPr>
                <w:rFonts w:ascii="Times New Roman" w:hAnsi="Times New Roman" w:cs="Times New Roman"/>
                <w:sz w:val="18"/>
                <w:szCs w:val="18"/>
              </w:rPr>
              <w:lastRenderedPageBreak/>
              <w:t>Conceito</w:t>
            </w:r>
          </w:p>
        </w:tc>
        <w:tc>
          <w:tcPr>
            <w:tcW w:w="5807" w:type="dxa"/>
          </w:tcPr>
          <w:p w14:paraId="3B7C3F7F" w14:textId="77777777" w:rsidR="002E5394" w:rsidRPr="002E5394" w:rsidRDefault="002E5394" w:rsidP="006805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Definição</w:t>
            </w:r>
          </w:p>
        </w:tc>
        <w:tc>
          <w:tcPr>
            <w:tcW w:w="1989" w:type="dxa"/>
          </w:tcPr>
          <w:p w14:paraId="289CAFD9" w14:textId="77777777" w:rsidR="002E5394" w:rsidRPr="002E5394" w:rsidRDefault="002E5394" w:rsidP="006805F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Autores de referência</w:t>
            </w:r>
          </w:p>
        </w:tc>
      </w:tr>
      <w:tr w:rsidR="0080122A" w:rsidRPr="002E5394" w14:paraId="7C33B919" w14:textId="77777777" w:rsidTr="005D1E0F">
        <w:trPr>
          <w:trHeight w:val="609"/>
        </w:trPr>
        <w:tc>
          <w:tcPr>
            <w:cnfStyle w:val="001000000000" w:firstRow="0" w:lastRow="0" w:firstColumn="1" w:lastColumn="0" w:oddVBand="0" w:evenVBand="0" w:oddHBand="0" w:evenHBand="0" w:firstRowFirstColumn="0" w:firstRowLastColumn="0" w:lastRowFirstColumn="0" w:lastRowLastColumn="0"/>
            <w:tcW w:w="1276" w:type="dxa"/>
          </w:tcPr>
          <w:p w14:paraId="554D21FF" w14:textId="77777777" w:rsidR="0080122A" w:rsidRPr="002E5394" w:rsidRDefault="0080122A" w:rsidP="002E5394">
            <w:pPr>
              <w:jc w:val="center"/>
              <w:rPr>
                <w:rFonts w:ascii="Times New Roman" w:hAnsi="Times New Roman" w:cs="Times New Roman"/>
                <w:sz w:val="18"/>
                <w:szCs w:val="18"/>
              </w:rPr>
            </w:pPr>
            <w:r w:rsidRPr="002E5394">
              <w:rPr>
                <w:rFonts w:ascii="Times New Roman" w:hAnsi="Times New Roman" w:cs="Times New Roman"/>
                <w:b w:val="0"/>
                <w:sz w:val="18"/>
                <w:szCs w:val="18"/>
              </w:rPr>
              <w:t>Políticas de RH</w:t>
            </w:r>
          </w:p>
        </w:tc>
        <w:tc>
          <w:tcPr>
            <w:tcW w:w="5807" w:type="dxa"/>
          </w:tcPr>
          <w:p w14:paraId="0B1E0B4E"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As políticas são desdobramentos da estratégia, buscando coordenar as práticas através de um conjunto de regras e procedimentos para que tenham coerência e sigam na mesma direção. São quatro as áreas-chaves para a determinação de políticas de ARH: grau de influência do empregado (participação); o fluxo de ARH (recrutamento, utilização e demissão); o sistema de recompensas; e os sistemas de trabalho (organização do trabalho).</w:t>
            </w:r>
          </w:p>
        </w:tc>
        <w:tc>
          <w:tcPr>
            <w:tcW w:w="1989" w:type="dxa"/>
          </w:tcPr>
          <w:p w14:paraId="1AA476BF"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roofErr w:type="spellStart"/>
            <w:r w:rsidRPr="002E5394">
              <w:rPr>
                <w:rFonts w:ascii="Times New Roman" w:hAnsi="Times New Roman" w:cs="Times New Roman"/>
                <w:sz w:val="18"/>
                <w:szCs w:val="18"/>
              </w:rPr>
              <w:t>Staehle</w:t>
            </w:r>
            <w:proofErr w:type="spellEnd"/>
            <w:r w:rsidRPr="002E5394">
              <w:rPr>
                <w:rFonts w:ascii="Times New Roman" w:hAnsi="Times New Roman" w:cs="Times New Roman"/>
                <w:sz w:val="18"/>
                <w:szCs w:val="18"/>
              </w:rPr>
              <w:t xml:space="preserve"> (1990)</w:t>
            </w:r>
            <w:r w:rsidRPr="002E5394">
              <w:rPr>
                <w:rFonts w:ascii="Times New Roman" w:eastAsia="Times New Roman" w:hAnsi="Times New Roman" w:cs="Times New Roman"/>
                <w:spacing w:val="-1"/>
                <w:sz w:val="18"/>
                <w:szCs w:val="18"/>
              </w:rPr>
              <w:t xml:space="preserve"> Martín-</w:t>
            </w:r>
            <w:proofErr w:type="spellStart"/>
            <w:r w:rsidRPr="002E5394">
              <w:rPr>
                <w:rFonts w:ascii="Times New Roman" w:eastAsia="Times New Roman" w:hAnsi="Times New Roman" w:cs="Times New Roman"/>
                <w:spacing w:val="-1"/>
                <w:sz w:val="18"/>
                <w:szCs w:val="18"/>
              </w:rPr>
              <w:t>Alcázar</w:t>
            </w:r>
            <w:proofErr w:type="spellEnd"/>
            <w:r w:rsidRPr="002E5394">
              <w:rPr>
                <w:rFonts w:ascii="Times New Roman" w:eastAsia="Times New Roman" w:hAnsi="Times New Roman" w:cs="Times New Roman"/>
                <w:spacing w:val="-1"/>
                <w:sz w:val="18"/>
                <w:szCs w:val="18"/>
              </w:rPr>
              <w:t xml:space="preserve"> </w:t>
            </w:r>
            <w:r w:rsidRPr="002E5394">
              <w:rPr>
                <w:rFonts w:ascii="Times New Roman" w:eastAsia="Times New Roman" w:hAnsi="Times New Roman" w:cs="Times New Roman"/>
                <w:i/>
                <w:spacing w:val="-1"/>
                <w:sz w:val="18"/>
                <w:szCs w:val="18"/>
              </w:rPr>
              <w:t>et al</w:t>
            </w:r>
            <w:r w:rsidRPr="002E5394">
              <w:rPr>
                <w:rFonts w:ascii="Times New Roman" w:eastAsia="Times New Roman" w:hAnsi="Times New Roman" w:cs="Times New Roman"/>
                <w:spacing w:val="-1"/>
                <w:sz w:val="18"/>
                <w:szCs w:val="18"/>
              </w:rPr>
              <w:t xml:space="preserve"> (2015)</w:t>
            </w:r>
          </w:p>
          <w:p w14:paraId="326C34D6"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
        </w:tc>
      </w:tr>
      <w:tr w:rsidR="0080122A" w:rsidRPr="002E5394" w14:paraId="4AE7BE11"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6750FF99" w14:textId="77777777" w:rsidR="0080122A" w:rsidRPr="002E5394" w:rsidRDefault="0080122A" w:rsidP="002E5394">
            <w:pPr>
              <w:jc w:val="center"/>
              <w:rPr>
                <w:rFonts w:ascii="Times New Roman" w:hAnsi="Times New Roman" w:cs="Times New Roman"/>
                <w:sz w:val="18"/>
                <w:szCs w:val="18"/>
              </w:rPr>
            </w:pPr>
            <w:r w:rsidRPr="002E5394">
              <w:rPr>
                <w:rFonts w:ascii="Times New Roman" w:hAnsi="Times New Roman" w:cs="Times New Roman"/>
                <w:b w:val="0"/>
                <w:sz w:val="18"/>
                <w:szCs w:val="18"/>
              </w:rPr>
              <w:t>Práticas de RH</w:t>
            </w:r>
          </w:p>
        </w:tc>
        <w:tc>
          <w:tcPr>
            <w:tcW w:w="5807" w:type="dxa"/>
          </w:tcPr>
          <w:p w14:paraId="296A72D1"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eastAsia="Times New Roman" w:hAnsi="Times New Roman" w:cs="Times New Roman"/>
                <w:spacing w:val="-1"/>
                <w:sz w:val="18"/>
                <w:szCs w:val="18"/>
              </w:rPr>
              <w:t>C</w:t>
            </w:r>
            <w:r w:rsidRPr="002E5394">
              <w:rPr>
                <w:rFonts w:ascii="Times New Roman" w:eastAsia="Times New Roman" w:hAnsi="Times New Roman" w:cs="Times New Roman"/>
                <w:sz w:val="18"/>
                <w:szCs w:val="18"/>
              </w:rPr>
              <w:t>ompreendem os programas, processos e técnicas operacionalizados em uma organização com o objetivo de atender às políticas de gestão de pessoas. Alinhadas, portanto, às políticas da ARH, r</w:t>
            </w:r>
            <w:r w:rsidRPr="002E5394">
              <w:rPr>
                <w:rFonts w:ascii="Times New Roman" w:hAnsi="Times New Roman" w:cs="Times New Roman"/>
                <w:sz w:val="18"/>
                <w:szCs w:val="18"/>
              </w:rPr>
              <w:t>epresentam as ações de fato.</w:t>
            </w:r>
          </w:p>
        </w:tc>
        <w:tc>
          <w:tcPr>
            <w:tcW w:w="1989" w:type="dxa"/>
          </w:tcPr>
          <w:p w14:paraId="73C3746B"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roofErr w:type="spellStart"/>
            <w:r w:rsidRPr="002E5394">
              <w:rPr>
                <w:rFonts w:ascii="Times New Roman" w:eastAsia="Times New Roman" w:hAnsi="Times New Roman" w:cs="Times New Roman"/>
                <w:spacing w:val="-1"/>
                <w:sz w:val="18"/>
                <w:szCs w:val="18"/>
              </w:rPr>
              <w:t>Lepak</w:t>
            </w:r>
            <w:proofErr w:type="spellEnd"/>
            <w:r w:rsidRPr="002E5394">
              <w:rPr>
                <w:rFonts w:ascii="Times New Roman" w:eastAsia="Times New Roman" w:hAnsi="Times New Roman" w:cs="Times New Roman"/>
                <w:spacing w:val="-1"/>
                <w:sz w:val="18"/>
                <w:szCs w:val="18"/>
              </w:rPr>
              <w:t xml:space="preserve"> e Shaw </w:t>
            </w:r>
            <w:r w:rsidRPr="002E5394">
              <w:rPr>
                <w:rFonts w:ascii="Times New Roman" w:eastAsia="Times New Roman" w:hAnsi="Times New Roman" w:cs="Times New Roman"/>
                <w:spacing w:val="-1"/>
                <w:sz w:val="18"/>
                <w:szCs w:val="18"/>
              </w:rPr>
              <w:fldChar w:fldCharType="begin" w:fldLock="1"/>
            </w:r>
            <w:r w:rsidRPr="002E5394">
              <w:rPr>
                <w:rFonts w:ascii="Times New Roman" w:eastAsia="Times New Roman" w:hAnsi="Times New Roman" w:cs="Times New Roman"/>
                <w:spacing w:val="-1"/>
                <w:sz w:val="18"/>
                <w:szCs w:val="18"/>
              </w:rPr>
              <w:instrText>ADDIN CSL_CITATION { "citationItems" : [ { "id" : "ITEM-1", "itemData" : { "DOI" : "10.1080/09585190802200272", "ISBN" : "0958519080", "ISSN" : "09585192", "PMID" : "33881026", "abstract" : "Strategic human resources management (HRM) remains one of the most popular and rapidly growing areas of HRM research. In this article, we undertake a selective review of the strategic HRM literature with a particular emphasis on research from the North American context. After outlining the research landscape and areas of consensus and disagreement, we discuss several emerging issues that effective HRM systems must contend with in the future, including technological fluidity, workforce demographic changes and shifting worker values. With an eye toward future research opportunities, we also discuss the broadening of performance outcomes in strategic HRM research and highlight the importance of effectively managing HRM systems for multiple employee groups.", "author" : [ { "dropping-particle" : "", "family" : "Lepak", "given" : "David P.", "non-dropping-particle" : "", "parse-names" : false, "suffix" : "" }, { "dropping-particle" : "", "family" : "Shaw", "given" : "Jason D.", "non-dropping-particle" : "", "parse-names" : false, "suffix" : "" } ], "container-title" : "International Journal of Human Resource Management", "id" : "ITEM-1", "issue" : "8", "issued" : { "date-parts" : [ [ "2008" ] ] }, "page" : "1486-1499", "title" : "Strategic HRM in North America: Looking to the future", "type" : "article-journal", "volume" : "19" }, "uris" : [ "http://www.mendeley.com/documents/?uuid=e65da833-8214-3e7d-b4fd-65bf84fa0758" ] } ], "mendeley" : { "formattedCitation" : "(LEPAK; SHAW, 2008)", "manualFormatting" : "(2008)", "plainTextFormattedCitation" : "(LEPAK; SHAW, 2008)", "previouslyFormattedCitation" : "(LEPAK; SHAW, 2008)" }, "properties" : { "noteIndex" : 0 }, "schema" : "https://github.com/citation-style-language/schema/raw/master/csl-citation.json" }</w:instrText>
            </w:r>
            <w:r w:rsidRPr="002E5394">
              <w:rPr>
                <w:rFonts w:ascii="Times New Roman" w:eastAsia="Times New Roman" w:hAnsi="Times New Roman" w:cs="Times New Roman"/>
                <w:spacing w:val="-1"/>
                <w:sz w:val="18"/>
                <w:szCs w:val="18"/>
              </w:rPr>
              <w:fldChar w:fldCharType="separate"/>
            </w:r>
            <w:r w:rsidRPr="002E5394">
              <w:rPr>
                <w:rFonts w:ascii="Times New Roman" w:eastAsia="Times New Roman" w:hAnsi="Times New Roman" w:cs="Times New Roman"/>
                <w:noProof/>
                <w:spacing w:val="-1"/>
                <w:sz w:val="18"/>
                <w:szCs w:val="18"/>
              </w:rPr>
              <w:t>(2008)</w:t>
            </w:r>
            <w:r w:rsidRPr="002E5394">
              <w:rPr>
                <w:rFonts w:ascii="Times New Roman" w:eastAsia="Times New Roman" w:hAnsi="Times New Roman" w:cs="Times New Roman"/>
                <w:spacing w:val="-1"/>
                <w:sz w:val="18"/>
                <w:szCs w:val="18"/>
              </w:rPr>
              <w:fldChar w:fldCharType="end"/>
            </w:r>
          </w:p>
          <w:p w14:paraId="2C562B6D"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r w:rsidRPr="002E5394">
              <w:rPr>
                <w:rFonts w:ascii="Times New Roman" w:eastAsia="Times New Roman" w:hAnsi="Times New Roman" w:cs="Times New Roman"/>
                <w:spacing w:val="-1"/>
                <w:sz w:val="18"/>
                <w:szCs w:val="18"/>
              </w:rPr>
              <w:t>Martín-</w:t>
            </w:r>
            <w:proofErr w:type="spellStart"/>
            <w:r w:rsidRPr="002E5394">
              <w:rPr>
                <w:rFonts w:ascii="Times New Roman" w:eastAsia="Times New Roman" w:hAnsi="Times New Roman" w:cs="Times New Roman"/>
                <w:spacing w:val="-1"/>
                <w:sz w:val="18"/>
                <w:szCs w:val="18"/>
              </w:rPr>
              <w:t>Alcázar</w:t>
            </w:r>
            <w:proofErr w:type="spellEnd"/>
            <w:r w:rsidRPr="002E5394">
              <w:rPr>
                <w:rFonts w:ascii="Times New Roman" w:eastAsia="Times New Roman" w:hAnsi="Times New Roman" w:cs="Times New Roman"/>
                <w:spacing w:val="-1"/>
                <w:sz w:val="18"/>
                <w:szCs w:val="18"/>
              </w:rPr>
              <w:t xml:space="preserve"> </w:t>
            </w:r>
            <w:r w:rsidRPr="002E5394">
              <w:rPr>
                <w:rFonts w:ascii="Times New Roman" w:eastAsia="Times New Roman" w:hAnsi="Times New Roman" w:cs="Times New Roman"/>
                <w:i/>
                <w:spacing w:val="-1"/>
                <w:sz w:val="18"/>
                <w:szCs w:val="18"/>
              </w:rPr>
              <w:t>et al</w:t>
            </w:r>
            <w:r w:rsidRPr="002E5394">
              <w:rPr>
                <w:rFonts w:ascii="Times New Roman" w:eastAsia="Times New Roman" w:hAnsi="Times New Roman" w:cs="Times New Roman"/>
                <w:spacing w:val="-1"/>
                <w:sz w:val="18"/>
                <w:szCs w:val="18"/>
              </w:rPr>
              <w:t xml:space="preserve"> (2015)</w:t>
            </w:r>
          </w:p>
          <w:p w14:paraId="00CCC680"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rPr>
            </w:pPr>
          </w:p>
        </w:tc>
      </w:tr>
      <w:tr w:rsidR="0080122A" w:rsidRPr="002E5394" w14:paraId="2817AA13"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37737A67"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RH estratégico</w:t>
            </w:r>
          </w:p>
        </w:tc>
        <w:tc>
          <w:tcPr>
            <w:tcW w:w="5807" w:type="dxa"/>
          </w:tcPr>
          <w:p w14:paraId="642B99C2"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A ARH cujo perfil se alinha com a estratégia e, consequentemente, com os objetivos empresariais, resultando no aumento do alcance da ARH nas organizações.</w:t>
            </w:r>
          </w:p>
        </w:tc>
        <w:tc>
          <w:tcPr>
            <w:tcW w:w="1989" w:type="dxa"/>
          </w:tcPr>
          <w:p w14:paraId="77B6873B" w14:textId="77777777" w:rsidR="005D1E0F" w:rsidRPr="002E5394" w:rsidRDefault="005D1E0F"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proofErr w:type="spellStart"/>
            <w:r w:rsidRPr="002E5394">
              <w:rPr>
                <w:rFonts w:ascii="Times New Roman" w:hAnsi="Times New Roman" w:cs="Times New Roman"/>
                <w:sz w:val="18"/>
                <w:szCs w:val="18"/>
                <w:lang w:val="en-US"/>
              </w:rPr>
              <w:t>Lengnick</w:t>
            </w:r>
            <w:proofErr w:type="spellEnd"/>
            <w:r w:rsidRPr="002E5394">
              <w:rPr>
                <w:rFonts w:ascii="Times New Roman" w:hAnsi="Times New Roman" w:cs="Times New Roman"/>
                <w:sz w:val="18"/>
                <w:szCs w:val="18"/>
                <w:lang w:val="en-US"/>
              </w:rPr>
              <w:t xml:space="preserve">-hall </w:t>
            </w:r>
            <w:r w:rsidRPr="002E5394">
              <w:rPr>
                <w:rFonts w:ascii="Times New Roman" w:hAnsi="Times New Roman" w:cs="Times New Roman"/>
                <w:i/>
                <w:noProof/>
                <w:sz w:val="18"/>
                <w:szCs w:val="18"/>
                <w:lang w:val="en-US"/>
              </w:rPr>
              <w:t>et al.</w:t>
            </w:r>
            <w:r w:rsidRPr="002E5394">
              <w:rPr>
                <w:rFonts w:ascii="Times New Roman" w:hAnsi="Times New Roman" w:cs="Times New Roman"/>
                <w:noProof/>
                <w:sz w:val="18"/>
                <w:szCs w:val="18"/>
                <w:lang w:val="en-US"/>
              </w:rPr>
              <w:t xml:space="preserve"> (2009)</w:t>
            </w:r>
          </w:p>
          <w:p w14:paraId="306EE7E2" w14:textId="77777777" w:rsidR="005D1E0F" w:rsidRPr="002E5394" w:rsidRDefault="005D1E0F"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US"/>
              </w:rPr>
            </w:pPr>
            <w:r w:rsidRPr="002E5394">
              <w:rPr>
                <w:rFonts w:ascii="Times New Roman" w:hAnsi="Times New Roman" w:cs="Times New Roman"/>
                <w:sz w:val="18"/>
                <w:szCs w:val="18"/>
                <w:lang w:val="en-US"/>
              </w:rPr>
              <w:t>Fischer e Albuquerque (2011)</w:t>
            </w:r>
          </w:p>
          <w:p w14:paraId="29C28FE9" w14:textId="77777777" w:rsidR="0080122A" w:rsidRPr="002E5394" w:rsidRDefault="005D1E0F" w:rsidP="002E539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pacing w:val="-1"/>
                <w:sz w:val="18"/>
                <w:szCs w:val="18"/>
                <w:lang w:val="en-US"/>
              </w:rPr>
            </w:pPr>
            <w:r w:rsidRPr="002E5394">
              <w:rPr>
                <w:rFonts w:ascii="Times New Roman" w:hAnsi="Times New Roman" w:cs="Times New Roman"/>
                <w:sz w:val="18"/>
                <w:szCs w:val="18"/>
                <w:lang w:val="en-US"/>
              </w:rPr>
              <w:t>Lawler (2011)</w:t>
            </w:r>
          </w:p>
        </w:tc>
      </w:tr>
      <w:tr w:rsidR="0080122A" w:rsidRPr="002E5394" w14:paraId="78D71A8C" w14:textId="77777777" w:rsidTr="005D1E0F">
        <w:tc>
          <w:tcPr>
            <w:cnfStyle w:val="001000000000" w:firstRow="0" w:lastRow="0" w:firstColumn="1" w:lastColumn="0" w:oddVBand="0" w:evenVBand="0" w:oddHBand="0" w:evenHBand="0" w:firstRowFirstColumn="0" w:firstRowLastColumn="0" w:lastRowFirstColumn="0" w:lastRowLastColumn="0"/>
            <w:tcW w:w="1276" w:type="dxa"/>
          </w:tcPr>
          <w:p w14:paraId="2EE458DF" w14:textId="77777777" w:rsidR="0080122A" w:rsidRPr="002E5394" w:rsidRDefault="0080122A" w:rsidP="002E5394">
            <w:pPr>
              <w:jc w:val="center"/>
              <w:rPr>
                <w:rFonts w:ascii="Times New Roman" w:hAnsi="Times New Roman" w:cs="Times New Roman"/>
                <w:b w:val="0"/>
                <w:sz w:val="18"/>
                <w:szCs w:val="18"/>
              </w:rPr>
            </w:pPr>
            <w:r w:rsidRPr="002E5394">
              <w:rPr>
                <w:rFonts w:ascii="Times New Roman" w:hAnsi="Times New Roman" w:cs="Times New Roman"/>
                <w:b w:val="0"/>
                <w:sz w:val="18"/>
                <w:szCs w:val="18"/>
              </w:rPr>
              <w:t>Organizações do futuro</w:t>
            </w:r>
          </w:p>
          <w:p w14:paraId="09321ECF" w14:textId="77777777" w:rsidR="0080122A" w:rsidRPr="002E5394" w:rsidRDefault="0080122A" w:rsidP="002E5394">
            <w:pPr>
              <w:jc w:val="center"/>
              <w:rPr>
                <w:rFonts w:ascii="Times New Roman" w:hAnsi="Times New Roman" w:cs="Times New Roman"/>
                <w:b w:val="0"/>
                <w:sz w:val="18"/>
                <w:szCs w:val="18"/>
              </w:rPr>
            </w:pPr>
          </w:p>
        </w:tc>
        <w:tc>
          <w:tcPr>
            <w:tcW w:w="5807" w:type="dxa"/>
          </w:tcPr>
          <w:p w14:paraId="62D49CBA"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 xml:space="preserve">a) organizações de alta </w:t>
            </w:r>
            <w:r w:rsidRPr="002E5394">
              <w:rPr>
                <w:rFonts w:ascii="Times New Roman" w:hAnsi="Times New Roman" w:cs="Times New Roman"/>
                <w:i/>
                <w:sz w:val="18"/>
                <w:szCs w:val="18"/>
              </w:rPr>
              <w:t>performance</w:t>
            </w:r>
            <w:r w:rsidRPr="002E5394">
              <w:rPr>
                <w:rFonts w:ascii="Times New Roman" w:hAnsi="Times New Roman" w:cs="Times New Roman"/>
                <w:sz w:val="18"/>
                <w:szCs w:val="18"/>
              </w:rPr>
              <w:t>; b) funcionam como uma rede; c) coordenadas por sua cultura, sistemas de informação e d) com mobilidade de talentos. e) focadas em seu próprio redesenho, estudando e desenvolvendo novos modelos.</w:t>
            </w:r>
          </w:p>
        </w:tc>
        <w:tc>
          <w:tcPr>
            <w:tcW w:w="1989" w:type="dxa"/>
          </w:tcPr>
          <w:p w14:paraId="118D67E3" w14:textId="77777777" w:rsidR="0080122A" w:rsidRPr="002E5394" w:rsidRDefault="0080122A" w:rsidP="002E539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E5394">
              <w:rPr>
                <w:rFonts w:ascii="Times New Roman" w:hAnsi="Times New Roman" w:cs="Times New Roman"/>
                <w:sz w:val="18"/>
                <w:szCs w:val="18"/>
              </w:rPr>
              <w:t xml:space="preserve">Deloitte </w:t>
            </w:r>
            <w:proofErr w:type="spellStart"/>
            <w:r w:rsidRPr="002E5394">
              <w:rPr>
                <w:rFonts w:ascii="Times New Roman" w:hAnsi="Times New Roman" w:cs="Times New Roman"/>
                <w:sz w:val="18"/>
                <w:szCs w:val="18"/>
              </w:rPr>
              <w:t>Touche</w:t>
            </w:r>
            <w:proofErr w:type="spellEnd"/>
            <w:r w:rsidRPr="002E5394">
              <w:rPr>
                <w:rFonts w:ascii="Times New Roman" w:hAnsi="Times New Roman" w:cs="Times New Roman"/>
                <w:sz w:val="18"/>
                <w:szCs w:val="18"/>
              </w:rPr>
              <w:t xml:space="preserve"> </w:t>
            </w:r>
            <w:proofErr w:type="spellStart"/>
            <w:r w:rsidRPr="002E5394">
              <w:rPr>
                <w:rFonts w:ascii="Times New Roman" w:hAnsi="Times New Roman" w:cs="Times New Roman"/>
                <w:sz w:val="18"/>
                <w:szCs w:val="18"/>
              </w:rPr>
              <w:t>Tohmatsu</w:t>
            </w:r>
            <w:proofErr w:type="spellEnd"/>
            <w:r w:rsidRPr="002E5394">
              <w:rPr>
                <w:rFonts w:ascii="Times New Roman" w:hAnsi="Times New Roman" w:cs="Times New Roman"/>
                <w:sz w:val="18"/>
                <w:szCs w:val="18"/>
              </w:rPr>
              <w:t xml:space="preserve"> </w:t>
            </w:r>
            <w:r w:rsidRPr="002E5394">
              <w:rPr>
                <w:rFonts w:ascii="Times New Roman" w:hAnsi="Times New Roman" w:cs="Times New Roman"/>
                <w:sz w:val="18"/>
                <w:szCs w:val="18"/>
              </w:rPr>
              <w:fldChar w:fldCharType="begin" w:fldLock="1"/>
            </w:r>
            <w:r w:rsidRPr="002E5394">
              <w:rPr>
                <w:rFonts w:ascii="Times New Roman" w:hAnsi="Times New Roman" w:cs="Times New Roman"/>
                <w:sz w:val="18"/>
                <w:szCs w:val="18"/>
              </w:rPr>
              <w:instrText>ADDIN CSL_CITATION { "citationItems" : [ { "id" : "ITEM-1", "itemData" : { "author" : [ { "dropping-particle" : "", "family" : "Deloitte Touche Tohmatsu", "given" : "", "non-dropping-particle" : "", "parse-names" : false, "suffix" : "" } ], "id" : "ITEM-1", "issued" : { "date-parts" : [ [ "2017" ] ] }, "publisher" : "Deloitte University Press", "publisher-place" : "New York", "title" : "Rewriting the rules for the digital age: 2017 Deloitte Global Human Capital Trends", "type" : "book" }, "uris" : [ "http://www.mendeley.com/documents/?uuid=d7dd804b-742c-4e10-8197-1a5fd9733f34" ] } ], "mendeley" : { "formattedCitation" : "(DELOITTE TOUCHE TOHMATSU, 2017)", "manualFormatting" : "(2017)", "plainTextFormattedCitation" : "(DELOITTE TOUCHE TOHMATSU, 2017)", "previouslyFormattedCitation" : "(DELOITTE TOUCHE TOHMATSU, 2017)" }, "properties" : { "noteIndex" : 0 }, "schema" : "https://github.com/citation-style-language/schema/raw/master/csl-citation.json" }</w:instrText>
            </w:r>
            <w:r w:rsidRPr="002E5394">
              <w:rPr>
                <w:rFonts w:ascii="Times New Roman" w:hAnsi="Times New Roman" w:cs="Times New Roman"/>
                <w:sz w:val="18"/>
                <w:szCs w:val="18"/>
              </w:rPr>
              <w:fldChar w:fldCharType="separate"/>
            </w:r>
            <w:r w:rsidRPr="002E5394">
              <w:rPr>
                <w:rFonts w:ascii="Times New Roman" w:hAnsi="Times New Roman" w:cs="Times New Roman"/>
                <w:noProof/>
                <w:sz w:val="18"/>
                <w:szCs w:val="18"/>
              </w:rPr>
              <w:t>(2017)</w:t>
            </w:r>
            <w:r w:rsidRPr="002E5394">
              <w:rPr>
                <w:rFonts w:ascii="Times New Roman" w:hAnsi="Times New Roman" w:cs="Times New Roman"/>
                <w:sz w:val="18"/>
                <w:szCs w:val="18"/>
              </w:rPr>
              <w:fldChar w:fldCharType="end"/>
            </w:r>
          </w:p>
        </w:tc>
      </w:tr>
    </w:tbl>
    <w:p w14:paraId="6F2257B4" w14:textId="77777777" w:rsidR="00E252C8" w:rsidRPr="002E5394" w:rsidRDefault="00E252C8" w:rsidP="002E5394">
      <w:pPr>
        <w:spacing w:after="120" w:line="240" w:lineRule="auto"/>
        <w:jc w:val="both"/>
        <w:rPr>
          <w:rFonts w:ascii="Times New Roman" w:hAnsi="Times New Roman" w:cs="Times New Roman"/>
          <w:b/>
          <w:sz w:val="24"/>
          <w:szCs w:val="24"/>
        </w:rPr>
      </w:pPr>
    </w:p>
    <w:p w14:paraId="138B957F" w14:textId="77777777" w:rsidR="00DC7BAA" w:rsidRPr="002E5394" w:rsidRDefault="00DC7BAA" w:rsidP="002E5394">
      <w:pPr>
        <w:spacing w:after="120" w:line="240" w:lineRule="auto"/>
        <w:jc w:val="both"/>
        <w:rPr>
          <w:rFonts w:ascii="Times New Roman" w:hAnsi="Times New Roman" w:cs="Times New Roman"/>
          <w:b/>
          <w:sz w:val="24"/>
          <w:szCs w:val="24"/>
        </w:rPr>
      </w:pPr>
      <w:r w:rsidRPr="002E5394">
        <w:rPr>
          <w:rFonts w:ascii="Times New Roman" w:hAnsi="Times New Roman" w:cs="Times New Roman"/>
          <w:b/>
          <w:sz w:val="24"/>
          <w:szCs w:val="24"/>
        </w:rPr>
        <w:t>4. Metodologia</w:t>
      </w:r>
    </w:p>
    <w:p w14:paraId="6CF2DB69" w14:textId="77777777" w:rsidR="00845649" w:rsidRPr="002E5394" w:rsidRDefault="0084564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Embora a presente pesquisa possa ser realizada sob a lente de diversas concepções, optou-se pelo pragmatismo, sobretudo por estarmos orientados para “a prática do mundo real”, não querendo, meramente, verificar teorias, mas se utilizando de uma abordagem plural, centrada no problema de pesquisa. </w:t>
      </w:r>
    </w:p>
    <w:p w14:paraId="3BD846C7" w14:textId="77777777" w:rsidR="00845649" w:rsidRPr="002E5394" w:rsidRDefault="0084564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A investigação se utiliz</w:t>
      </w:r>
      <w:r w:rsidR="00933F32" w:rsidRPr="002E5394">
        <w:rPr>
          <w:rFonts w:ascii="Times New Roman" w:hAnsi="Times New Roman" w:cs="Times New Roman"/>
          <w:sz w:val="24"/>
          <w:szCs w:val="24"/>
        </w:rPr>
        <w:t>ou</w:t>
      </w:r>
      <w:r w:rsidRPr="002E5394">
        <w:rPr>
          <w:rFonts w:ascii="Times New Roman" w:hAnsi="Times New Roman" w:cs="Times New Roman"/>
          <w:sz w:val="24"/>
          <w:szCs w:val="24"/>
        </w:rPr>
        <w:t xml:space="preserve"> da abordagem qualitativa. Essa é uma abordagem naturalista pela qual se busca entender fenômenos dentro de seu próprio contexto específico. Estudos qualitativos cooperam para contribuições autênticas que apresentam resultados confiáveis em um determinado contexto, mostrando-se mais adequados quando o pesquisador pretende obter um panorama profundo, intenso e holístico do contexto em estudo (GRAY, 2012, p. 135).</w:t>
      </w:r>
    </w:p>
    <w:p w14:paraId="73200F0A" w14:textId="77777777" w:rsidR="00845649" w:rsidRPr="002E5394" w:rsidRDefault="0084564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pacing w:val="-2"/>
          <w:sz w:val="24"/>
          <w:szCs w:val="24"/>
        </w:rPr>
        <w:t xml:space="preserve">Segundo </w:t>
      </w:r>
      <w:proofErr w:type="spellStart"/>
      <w:r w:rsidRPr="002E5394">
        <w:rPr>
          <w:rFonts w:ascii="Times New Roman" w:hAnsi="Times New Roman" w:cs="Times New Roman"/>
          <w:spacing w:val="-2"/>
          <w:sz w:val="24"/>
          <w:szCs w:val="24"/>
        </w:rPr>
        <w:t>Flick</w:t>
      </w:r>
      <w:proofErr w:type="spellEnd"/>
      <w:r w:rsidRPr="002E5394">
        <w:rPr>
          <w:rFonts w:ascii="Times New Roman" w:hAnsi="Times New Roman" w:cs="Times New Roman"/>
          <w:spacing w:val="-2"/>
          <w:sz w:val="24"/>
          <w:szCs w:val="24"/>
        </w:rPr>
        <w:t xml:space="preserve"> (2007, p. 201) o uso de documentos para análises tem uma longa tradição na pesquisa qualitativa. </w:t>
      </w:r>
      <w:r w:rsidRPr="002E5394">
        <w:rPr>
          <w:rFonts w:ascii="Times New Roman" w:hAnsi="Times New Roman" w:cs="Times New Roman"/>
          <w:sz w:val="24"/>
          <w:szCs w:val="24"/>
        </w:rPr>
        <w:t xml:space="preserve">Documentos são </w:t>
      </w:r>
      <w:r w:rsidR="00C773A6" w:rsidRPr="002E5394">
        <w:rPr>
          <w:rFonts w:ascii="Times New Roman" w:hAnsi="Times New Roman" w:cs="Times New Roman"/>
          <w:sz w:val="24"/>
          <w:szCs w:val="24"/>
        </w:rPr>
        <w:t>artefatos que</w:t>
      </w:r>
      <w:r w:rsidRPr="002E5394">
        <w:rPr>
          <w:rFonts w:ascii="Times New Roman" w:hAnsi="Times New Roman" w:cs="Times New Roman"/>
          <w:sz w:val="24"/>
          <w:szCs w:val="24"/>
        </w:rPr>
        <w:t xml:space="preserve">, embora não tenham sido propriamente produzidos para fins de pesquisa, podem ser analisados, tanto de forma quantitativa, para a geração de estatísticas, quanto para pesquisas qualitativas, podendo clarificar características, a história, as práticas e as responsabilidades de indivíduos e instituições. A análise de documentos pode ser utilizada, tanto como método autônomo, quanto apoiado por outras estratégias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"Flick", "given" : "U.", "non-dropping-particle" : "", "parse-names" : false, "suffix" : "" } ], "id" : "ITEM-1", "issued" : { "date-parts" : [ [ "2007" ] ] }, "publisher" : "Sage Publications", "publisher-place" : "London", "title" : "Designing Qualitative Research", "type" : "book" }, "locator" : "231", "uris" : [ "http://www.mendeley.com/documents/?uuid=07cf608d-c1bf-4916-8913-dc49ae19a265" ] } ], "mendeley" : { "formattedCitation" : "(FLICK, 2007, p. 231)", "plainTextFormattedCitation" : "(FLICK, 2007, p. 231)", "previouslyFormattedCitation" : "(FLICK, 2007, p. 231)"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(FLICK, 2007, p. 231)</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xml:space="preserve">. Em relação à posição epistemológica desta pesquisa, na medida em que se optou por utilizar documentos, assume-se uma posição epistemológica que sugere que textos, documentos e registros visuais e escritos, objetos, artefatos e fenômenos podem fornecer ou contar como evidência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"DOI" : "10.1016/S0143-6228(97)90005-9", "ISBN" : "0761974288", "ISSN" : "01436228", "PMID" : "575631", "author" : [ { "dropping-particle" : "", "family" : "Mason", "given" : "Jennifer", "non-dropping-particle" : "", "parse-names" : false, "suffix" : "" } ], "id" : "ITEM-1", "issued" : { "date-parts" : [ [ "2002" ] ] }, "number-of-pages" : "231", "publisher" : "Sage Publications", "publisher-place" : "London", "title" : "Qualitative researching", "type" : "book" }, "locator" : "107", "uris" : [ "http://www.mendeley.com/documents/?uuid=6b62ce34-7feb-4bfb-8565-a025fbf11dc6" ] } ], "mendeley" : { "formattedCitation" : "(MASON, 2002, p. 107)", "plainTextFormattedCitation" : "(MASON, 2002, p. 107)", "previouslyFormattedCitation" : "(MASON, 2002, p. 107)"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(MASON, 2002, p. 107)</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w:t>
      </w:r>
    </w:p>
    <w:p w14:paraId="2FEDEF2A" w14:textId="77777777" w:rsidR="00925A29" w:rsidRPr="002E5394" w:rsidRDefault="00925A2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Segundo </w:t>
      </w:r>
      <w:proofErr w:type="spellStart"/>
      <w:r w:rsidRPr="002E5394">
        <w:rPr>
          <w:rFonts w:ascii="Times New Roman" w:hAnsi="Times New Roman" w:cs="Times New Roman"/>
          <w:sz w:val="24"/>
          <w:szCs w:val="24"/>
        </w:rPr>
        <w:t>Flick</w:t>
      </w:r>
      <w:proofErr w:type="spellEnd"/>
      <w:r w:rsidRPr="002E5394">
        <w:rPr>
          <w:rFonts w:ascii="Times New Roman" w:hAnsi="Times New Roman" w:cs="Times New Roman"/>
          <w:sz w:val="24"/>
          <w:szCs w:val="24"/>
        </w:rPr>
        <w:t xml:space="preserve"> (2007, p. 231), quando se decide pela realização de análise de documentos, podem ser utilizados documentos solicitados aos pesquisados, ou não solicitados. No caso da presente pesquisa, trata-se de documentos do primeiro tipo, sendo que se utilizou os cadernos de evidências da pesquisa MEPT (As 150 Melhores Empresas Para Você Trabalhar), edição 2016. Trata-se da vigésima e mais recente edição disponível, à época da coleta dos dados, realizada no início de 2017, de uma ampla pesquisa conduzida pela FIA (Fundação Instituto de Administração), conjuntamente com a revista Você S/A, que busca identificar organizações com melhores políticas e práticas na gestão de pessoas. A pesquisa MEPT é bastante abrangente nas suas categorias de estudo, que englobam aspectos como: comunicação interna, participação e autonomia, sustentabilidade e diversidade, relações interpessoais, carreira, gestão de processos e organização, saúde, segurança e qualidade de vida no trabalho (QVT), gestão do conhecimento e educação corporativa, gestão do perfil da liderança, reconhecimento e </w:t>
      </w:r>
      <w:r w:rsidRPr="002E5394">
        <w:rPr>
          <w:rFonts w:ascii="Times New Roman" w:hAnsi="Times New Roman" w:cs="Times New Roman"/>
          <w:sz w:val="24"/>
          <w:szCs w:val="24"/>
        </w:rPr>
        <w:lastRenderedPageBreak/>
        <w:t>recompensa, gestão estratégica e objetivos, entre outros aspectos (FUNDAÇÃO INSTITUTO DE ADMINISTRAÇÃO, 2016). Como a pesquisa MEPT se propõe a identificar o alinhamento das organizações com a modernidade, ou seja, o alinhamento das organizações com a evolução da gestão de pessoas, observou-se que a utilização desta base seria adequada para os fins que estamos pesquisando, selecionando os documentos do caderno de evidências das 150 organizações melhor posicionadas n</w:t>
      </w:r>
      <w:r w:rsidR="00C773A6" w:rsidRPr="002E5394">
        <w:rPr>
          <w:rFonts w:ascii="Times New Roman" w:hAnsi="Times New Roman" w:cs="Times New Roman"/>
          <w:sz w:val="24"/>
          <w:szCs w:val="24"/>
        </w:rPr>
        <w:t>esta</w:t>
      </w:r>
      <w:r w:rsidRPr="002E5394">
        <w:rPr>
          <w:rFonts w:ascii="Times New Roman" w:hAnsi="Times New Roman" w:cs="Times New Roman"/>
          <w:sz w:val="24"/>
          <w:szCs w:val="24"/>
        </w:rPr>
        <w:t xml:space="preserve"> edição da pesquisa. Enquanto a pesquisa MEPT concentra sua atenção em uma análise de natureza mais quantitativa para a composição de índices, a presente pesquisa buscou a construção de um</w:t>
      </w:r>
      <w:r w:rsidRPr="002E5394">
        <w:rPr>
          <w:rFonts w:ascii="Times New Roman" w:hAnsi="Times New Roman" w:cs="Times New Roman"/>
          <w:i/>
          <w:sz w:val="24"/>
          <w:szCs w:val="24"/>
        </w:rPr>
        <w:t xml:space="preserve"> corpus</w:t>
      </w:r>
      <w:r w:rsidRPr="002E5394">
        <w:rPr>
          <w:rFonts w:ascii="Times New Roman" w:hAnsi="Times New Roman" w:cs="Times New Roman"/>
          <w:sz w:val="24"/>
          <w:szCs w:val="24"/>
        </w:rPr>
        <w:t xml:space="preserve"> que permitisse uma avaliação qualitativa que transcende a mera análise dos textos.</w:t>
      </w:r>
    </w:p>
    <w:p w14:paraId="55FCF3E6" w14:textId="77777777" w:rsidR="00925A29" w:rsidRPr="002E5394" w:rsidRDefault="00925A2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Os cadernos de evidência utilizados nesta pesquisa, embora sigam uma estrutura comum, são compostos por respostas de perguntas abertas, o que acaba resultando em materiais pouco padronizados, tanto em formato quanto em conteúdo, somando um pouco mãos de 5000 laudas de documentos, o que impôs ao pesquisador um desafio e um intensivo esforço na análise dos dados, cujo procedimento de análise.</w:t>
      </w:r>
    </w:p>
    <w:p w14:paraId="6425AFFF" w14:textId="77777777" w:rsidR="00925A29" w:rsidRPr="002E5394" w:rsidRDefault="00925A29"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 análise dos dados propriamente dita se iniciou pela preparação do material e pela compilação dos dados coletados, ou seja, ordenando-os para que constituíssem uma base de dados. Para tanto, partiu-se de aproximadamente 530 megabytes de dados em 150 documentos distintos, sendo necessários alguns procedimentos de transcrição dos documentos originais para o formato digital, de forma a facilitar o posterior trabalho de recorte e agrupamento. Uma vez que esses dados textuais precisam ser ordenados de forma sistêmica, utilizou-se o </w:t>
      </w:r>
      <w:proofErr w:type="spellStart"/>
      <w:r w:rsidRPr="002E5394">
        <w:rPr>
          <w:rFonts w:ascii="Times New Roman" w:hAnsi="Times New Roman" w:cs="Times New Roman"/>
          <w:sz w:val="24"/>
          <w:szCs w:val="24"/>
        </w:rPr>
        <w:t>ATLAS-ti</w:t>
      </w:r>
      <w:proofErr w:type="spellEnd"/>
      <w:r w:rsidRPr="002E5394">
        <w:rPr>
          <w:rFonts w:ascii="Times New Roman" w:hAnsi="Times New Roman" w:cs="Times New Roman"/>
          <w:sz w:val="24"/>
          <w:szCs w:val="24"/>
        </w:rPr>
        <w:t xml:space="preserve">, um </w:t>
      </w:r>
      <w:r w:rsidRPr="002E5394">
        <w:rPr>
          <w:rFonts w:ascii="Times New Roman" w:hAnsi="Times New Roman" w:cs="Times New Roman"/>
          <w:i/>
          <w:sz w:val="24"/>
          <w:szCs w:val="24"/>
        </w:rPr>
        <w:t>CAQDAS (</w:t>
      </w:r>
      <w:proofErr w:type="spellStart"/>
      <w:r w:rsidRPr="002E5394">
        <w:rPr>
          <w:rFonts w:ascii="Times New Roman" w:hAnsi="Times New Roman" w:cs="Times New Roman"/>
          <w:i/>
          <w:sz w:val="24"/>
          <w:szCs w:val="24"/>
        </w:rPr>
        <w:t>computer</w:t>
      </w:r>
      <w:proofErr w:type="spellEnd"/>
      <w:r w:rsidRPr="002E5394">
        <w:rPr>
          <w:rFonts w:ascii="Times New Roman" w:hAnsi="Times New Roman" w:cs="Times New Roman"/>
          <w:i/>
          <w:sz w:val="24"/>
          <w:szCs w:val="24"/>
        </w:rPr>
        <w:t xml:space="preserve"> </w:t>
      </w:r>
      <w:proofErr w:type="spellStart"/>
      <w:r w:rsidRPr="002E5394">
        <w:rPr>
          <w:rFonts w:ascii="Times New Roman" w:hAnsi="Times New Roman" w:cs="Times New Roman"/>
          <w:i/>
          <w:sz w:val="24"/>
          <w:szCs w:val="24"/>
        </w:rPr>
        <w:t>assisted</w:t>
      </w:r>
      <w:proofErr w:type="spellEnd"/>
      <w:r w:rsidRPr="002E5394">
        <w:rPr>
          <w:rFonts w:ascii="Times New Roman" w:hAnsi="Times New Roman" w:cs="Times New Roman"/>
          <w:i/>
          <w:sz w:val="24"/>
          <w:szCs w:val="24"/>
        </w:rPr>
        <w:t xml:space="preserve"> </w:t>
      </w:r>
      <w:proofErr w:type="spellStart"/>
      <w:r w:rsidRPr="002E5394">
        <w:rPr>
          <w:rFonts w:ascii="Times New Roman" w:hAnsi="Times New Roman" w:cs="Times New Roman"/>
          <w:i/>
          <w:sz w:val="24"/>
          <w:szCs w:val="24"/>
        </w:rPr>
        <w:t>qualitative</w:t>
      </w:r>
      <w:proofErr w:type="spellEnd"/>
      <w:r w:rsidRPr="002E5394">
        <w:rPr>
          <w:rFonts w:ascii="Times New Roman" w:hAnsi="Times New Roman" w:cs="Times New Roman"/>
          <w:i/>
          <w:sz w:val="24"/>
          <w:szCs w:val="24"/>
        </w:rPr>
        <w:t xml:space="preserve"> data </w:t>
      </w:r>
      <w:proofErr w:type="spellStart"/>
      <w:r w:rsidRPr="002E5394">
        <w:rPr>
          <w:rFonts w:ascii="Times New Roman" w:hAnsi="Times New Roman" w:cs="Times New Roman"/>
          <w:i/>
          <w:sz w:val="24"/>
          <w:szCs w:val="24"/>
        </w:rPr>
        <w:t>analysis</w:t>
      </w:r>
      <w:proofErr w:type="spellEnd"/>
      <w:r w:rsidRPr="002E5394">
        <w:rPr>
          <w:rFonts w:ascii="Times New Roman" w:hAnsi="Times New Roman" w:cs="Times New Roman"/>
          <w:i/>
          <w:sz w:val="24"/>
          <w:szCs w:val="24"/>
        </w:rPr>
        <w:t xml:space="preserve"> software),</w:t>
      </w:r>
      <w:r w:rsidRPr="002E5394">
        <w:rPr>
          <w:rFonts w:ascii="Times New Roman" w:hAnsi="Times New Roman" w:cs="Times New Roman"/>
          <w:sz w:val="24"/>
          <w:szCs w:val="24"/>
        </w:rPr>
        <w:t xml:space="preserve"> para organizar os documentos coletados. Utilizou-se a AC (Análise de Conteúdo) pode ser considerada como um conjunto de técnicas de análise de comunicações que utiliza procedimentos sistemáticos e objetivos de descrição do conteúdo das mensagens, cuja a intenção é a inferência de conhecimentos relativos às condições de produção e recepção das mensagens, recorrendo a indicadores quantitativos ou não (BARDIN, 2011, p. 38). Na medida em que emergiam achados novas rodadas de codificação foram se seguindo</w:t>
      </w:r>
      <w:r w:rsidR="00C773A6" w:rsidRPr="002E5394">
        <w:rPr>
          <w:rFonts w:ascii="Times New Roman" w:hAnsi="Times New Roman" w:cs="Times New Roman"/>
          <w:sz w:val="24"/>
          <w:szCs w:val="24"/>
        </w:rPr>
        <w:t xml:space="preserve"> em um roteiro onde pudesse ocorrer: (a) descrição – enumeração de características do texto; (b) interpretação – a significação concedida a essas características e (c) inferência – a passagem explícita da descrição à interpretação, conferindo ao procedimento uma relevância retórica </w:t>
      </w:r>
      <w:r w:rsidR="00C773A6" w:rsidRPr="002E5394">
        <w:rPr>
          <w:rFonts w:ascii="Times New Roman" w:hAnsi="Times New Roman" w:cs="Times New Roman"/>
          <w:sz w:val="24"/>
          <w:szCs w:val="24"/>
        </w:rPr>
        <w:fldChar w:fldCharType="begin" w:fldLock="1"/>
      </w:r>
      <w:r w:rsidR="00C773A6" w:rsidRPr="002E5394">
        <w:rPr>
          <w:rFonts w:ascii="Times New Roman" w:hAnsi="Times New Roman" w:cs="Times New Roman"/>
          <w:sz w:val="24"/>
          <w:szCs w:val="24"/>
        </w:rPr>
        <w:instrText>ADDIN CSL_CITATION { "citationItems" : [ { "id" : "ITEM-1", "itemData" : { "author" : [ { "dropping-particle" : "", "family" : "Bardin", "given" : "Laurence", "non-dropping-particle" : "", "parse-names" : false, "suffix" : "" } ], "edition" : "2 reimp", "id" : "ITEM-1", "issued" : { "date-parts" : [ [ "2011" ] ] }, "number-of-pages" : "279", "publisher" : "Edi\u00e7\u00f5es 70", "publisher-place" : "S\u00e3o Paulo", "title" : "An\u00e1lise de Conte\u00fado", "type" : "book" }, "uris" : [ "http://www.mendeley.com/documents/?uuid=eda22c16-59d8-4579-b53a-bf05f086f9c3" ] }, { "id" : "ITEM-2", "itemData" : { "author" : [ { "dropping-particle" : "", "family" : "Franco", "given" : "Maria Laura P. B.", "non-dropping-particle" : "", "parse-names" : false, "suffix" : "" } ], "edition" : "4", "id" : "ITEM-2", "issued" : { "date-parts" : [ [ "2012" ] ] }, "number-of-pages" : "96", "publisher" : "Liber", "publisher-place" : "Brasilia", "title" : "An\u00e1lise de Conte\u00fado", "type" : "book" }, "uris" : [ "http://www.mendeley.com/documents/?uuid=f9606fc4-0ddf-46a8-9ccc-cbb0c325b0e3" ] } ], "mendeley" : { "formattedCitation" : "(BARDIN, 2011; FRANCO, 2012)", "plainTextFormattedCitation" : "(BARDIN, 2011; FRANCO, 2012)", "previouslyFormattedCitation" : "(BARDIN, 2011; FRANCO, 2012)" }, "properties" : { "noteIndex" : 0 }, "schema" : "https://github.com/citation-style-language/schema/raw/master/csl-citation.json" }</w:instrText>
      </w:r>
      <w:r w:rsidR="00C773A6" w:rsidRPr="002E5394">
        <w:rPr>
          <w:rFonts w:ascii="Times New Roman" w:hAnsi="Times New Roman" w:cs="Times New Roman"/>
          <w:sz w:val="24"/>
          <w:szCs w:val="24"/>
        </w:rPr>
        <w:fldChar w:fldCharType="separate"/>
      </w:r>
      <w:r w:rsidR="00C773A6" w:rsidRPr="002E5394">
        <w:rPr>
          <w:rFonts w:ascii="Times New Roman" w:hAnsi="Times New Roman" w:cs="Times New Roman"/>
          <w:noProof/>
          <w:sz w:val="24"/>
          <w:szCs w:val="24"/>
        </w:rPr>
        <w:t>(BARDIN, 2011; FRANCO, 2012)</w:t>
      </w:r>
      <w:r w:rsidR="00C773A6" w:rsidRPr="002E5394">
        <w:rPr>
          <w:rFonts w:ascii="Times New Roman" w:hAnsi="Times New Roman" w:cs="Times New Roman"/>
          <w:sz w:val="24"/>
          <w:szCs w:val="24"/>
        </w:rPr>
        <w:fldChar w:fldCharType="end"/>
      </w:r>
      <w:r w:rsidR="00C773A6" w:rsidRPr="002E5394">
        <w:rPr>
          <w:rFonts w:ascii="Times New Roman" w:hAnsi="Times New Roman" w:cs="Times New Roman"/>
          <w:sz w:val="24"/>
          <w:szCs w:val="24"/>
        </w:rPr>
        <w:t>.</w:t>
      </w:r>
    </w:p>
    <w:p w14:paraId="14DDA3A1" w14:textId="77777777" w:rsidR="00C773A6" w:rsidRPr="002E5394" w:rsidRDefault="00C773A6" w:rsidP="002E5394">
      <w:pPr>
        <w:spacing w:after="120" w:line="240" w:lineRule="auto"/>
        <w:jc w:val="both"/>
        <w:rPr>
          <w:rFonts w:ascii="Times New Roman" w:hAnsi="Times New Roman" w:cs="Times New Roman"/>
          <w:spacing w:val="-2"/>
          <w:sz w:val="24"/>
          <w:szCs w:val="24"/>
        </w:rPr>
      </w:pPr>
      <w:r w:rsidRPr="002E5394">
        <w:rPr>
          <w:rFonts w:ascii="Times New Roman" w:hAnsi="Times New Roman" w:cs="Times New Roman"/>
          <w:spacing w:val="-2"/>
          <w:sz w:val="24"/>
          <w:szCs w:val="24"/>
        </w:rPr>
        <w:t>Na medida em que os achados foram surgindo, foram criadas inicialmente 18 categorias temáticas, cuja nova análise por estes termos destacou 23.624 fragmentos, dos quais descartou-se, novamente, os que não correspondiam ao objeto da pesquisa, ou seja, mudanças na ARH. Este processo foi sendo realizado ciclicamente, adicionando-se novos termos e categorias, até que se observou uma certa “saturação”, na qual não surgiam novos achados. Mesmo após este momento, em que o CAQDAS não trazia novos resultados, optou-se pela leitura integral dos documentos obtidos para verificar eventuais mudanças não identificadas para marcação manual.</w:t>
      </w:r>
    </w:p>
    <w:p w14:paraId="15DB10BD" w14:textId="77777777" w:rsidR="00DC7BAA" w:rsidRPr="002E5394" w:rsidRDefault="00DC7BAA" w:rsidP="002E5394">
      <w:pPr>
        <w:spacing w:after="120" w:line="240" w:lineRule="auto"/>
        <w:rPr>
          <w:rFonts w:ascii="Times New Roman" w:hAnsi="Times New Roman" w:cs="Times New Roman"/>
          <w:b/>
          <w:sz w:val="24"/>
          <w:szCs w:val="24"/>
        </w:rPr>
      </w:pPr>
      <w:r w:rsidRPr="002E5394">
        <w:rPr>
          <w:rFonts w:ascii="Times New Roman" w:hAnsi="Times New Roman" w:cs="Times New Roman"/>
          <w:b/>
          <w:sz w:val="24"/>
          <w:szCs w:val="24"/>
        </w:rPr>
        <w:t>5. Análise dos Resultados</w:t>
      </w:r>
    </w:p>
    <w:p w14:paraId="101DCD73" w14:textId="77777777" w:rsidR="00C773A6" w:rsidRPr="002E5394" w:rsidRDefault="00C773A6"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Verificou-se que, do conjunto das 150 organizações pesquisadas, das declarações de mudanças, 92 eram relacionadas a ARH, em 49 organizações, ou seja, em praticamente um terço das organizações. No restante das organizações, não se encontrou evidências de mudanças na ARH no material analisado. </w:t>
      </w:r>
    </w:p>
    <w:p w14:paraId="625F5D63"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Embora a presente pesquisa não tenha propriamente um interesse em estatísticas, a tentativa de fazer uma análise comparativa entre os diversos segmentos mostrou-se interessante. Ao contrário do que se poderia supor, outros segmentos se mostraram mais intensivos em mudanças na ARH do que o de tecnologia. Calculando-se o número médio de mudanças por setor, o da indústria automotiva foi o melhor posicionado; já em número absoluto de mudanças na ARH, o melhor posicionado foi o setor de energia. Setores como o de siderurgia e metalurgia, bem </w:t>
      </w:r>
      <w:r w:rsidRPr="002E5394">
        <w:rPr>
          <w:rFonts w:ascii="Times New Roman" w:hAnsi="Times New Roman" w:cs="Times New Roman"/>
          <w:sz w:val="24"/>
          <w:szCs w:val="24"/>
        </w:rPr>
        <w:lastRenderedPageBreak/>
        <w:t>como bancos e serviços financeiros também tiveram destaque em termos de número de mudanças. Por outro lado, nos segmentos de comércio atacadista, eletroeletrônico, indústria de papel e celulose, produção e agropecuária e indústria extrativa não foram identificadas mudanças por meio da declaração das sete empresas pesquisadas nesses setores, o que pode sugerir que estes segmentos são menos propensos a mudanças na ARH.</w:t>
      </w:r>
    </w:p>
    <w:p w14:paraId="7F8E8A09" w14:textId="77777777" w:rsidR="00F43C5C" w:rsidRPr="002E5394" w:rsidRDefault="00F43C5C" w:rsidP="002E5394">
      <w:pPr>
        <w:spacing w:after="120" w:line="240" w:lineRule="auto"/>
        <w:jc w:val="both"/>
        <w:rPr>
          <w:rFonts w:ascii="Times New Roman" w:hAnsi="Times New Roman" w:cs="Times New Roman"/>
          <w:sz w:val="20"/>
          <w:szCs w:val="20"/>
        </w:rPr>
      </w:pPr>
      <w:r w:rsidRPr="002E5394">
        <w:rPr>
          <w:rFonts w:ascii="Times New Roman" w:hAnsi="Times New Roman" w:cs="Times New Roman"/>
          <w:sz w:val="24"/>
          <w:szCs w:val="24"/>
        </w:rPr>
        <w:t>O Dieese (2017) divide as organizações em grupos por porte: pequeno porte, com menos de 200 empregados, médio porte, entre 200 e 500 empregados; e grande porte, com mais de 500 empregados. Para fins dessa pesquisa, buscando uma visão mais detalhada, a partir de 500 empregados, realizou-se uma segmentação adicional. Torna-se importante salientar que, do universo de empresas pesquisadas, apenas 3 contavam com menos de 200 empregados e 9 podiam ser consideradas de médio porte (entre 200 e 500). A tabela seguinte consolida o que se encontrou quanto mudanças da ARH segundo o segmento das empresas.</w:t>
      </w:r>
    </w:p>
    <w:p w14:paraId="1A526AC4" w14:textId="77777777" w:rsidR="00F43C5C" w:rsidRPr="002E5394" w:rsidRDefault="00F43C5C" w:rsidP="002E5394">
      <w:pPr>
        <w:pStyle w:val="Legenda"/>
        <w:spacing w:after="120"/>
      </w:pPr>
      <w:bookmarkStart w:id="3" w:name="_Toc503964550"/>
      <w:r w:rsidRPr="002E5394">
        <w:rPr>
          <w:caps w:val="0"/>
        </w:rPr>
        <w:t>Tabela</w:t>
      </w:r>
      <w:r w:rsidRPr="002E5394">
        <w:t xml:space="preserve"> 1 - </w:t>
      </w:r>
      <w:r w:rsidRPr="002E5394">
        <w:rPr>
          <w:caps w:val="0"/>
        </w:rPr>
        <w:t>Número de mudanças</w:t>
      </w:r>
      <w:r w:rsidRPr="002E5394">
        <w:t xml:space="preserve"> </w:t>
      </w:r>
      <w:r w:rsidRPr="002E5394">
        <w:rPr>
          <w:caps w:val="0"/>
        </w:rPr>
        <w:t>em administração de recursos humanos</w:t>
      </w:r>
      <w:r w:rsidRPr="002E5394">
        <w:t xml:space="preserve"> </w:t>
      </w:r>
      <w:r w:rsidRPr="002E5394">
        <w:rPr>
          <w:caps w:val="0"/>
        </w:rPr>
        <w:t>por segmento</w:t>
      </w:r>
      <w:bookmarkEnd w:id="3"/>
    </w:p>
    <w:tbl>
      <w:tblPr>
        <w:tblStyle w:val="TabeladeGrade1Clara2"/>
        <w:tblW w:w="9072" w:type="dxa"/>
        <w:jc w:val="center"/>
        <w:tblLook w:val="04A0" w:firstRow="1" w:lastRow="0" w:firstColumn="1" w:lastColumn="0" w:noHBand="0" w:noVBand="1"/>
      </w:tblPr>
      <w:tblGrid>
        <w:gridCol w:w="2845"/>
        <w:gridCol w:w="2579"/>
        <w:gridCol w:w="2398"/>
        <w:gridCol w:w="1250"/>
      </w:tblGrid>
      <w:tr w:rsidR="00F43C5C" w:rsidRPr="002E5394" w14:paraId="628ED7E3" w14:textId="77777777" w:rsidTr="00E06443">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66D69F77"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Segmento</w:t>
            </w:r>
          </w:p>
        </w:tc>
        <w:tc>
          <w:tcPr>
            <w:tcW w:w="1456" w:type="dxa"/>
            <w:tcBorders>
              <w:left w:val="nil"/>
              <w:right w:val="nil"/>
            </w:tcBorders>
            <w:noWrap/>
            <w:hideMark/>
          </w:tcPr>
          <w:p w14:paraId="52B09642" w14:textId="77777777" w:rsidR="00F43C5C" w:rsidRPr="002E5394" w:rsidRDefault="00F43C5C" w:rsidP="002E5394">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Número de empresas</w:t>
            </w:r>
          </w:p>
        </w:tc>
        <w:tc>
          <w:tcPr>
            <w:tcW w:w="1354" w:type="dxa"/>
            <w:tcBorders>
              <w:left w:val="nil"/>
              <w:right w:val="nil"/>
            </w:tcBorders>
            <w:noWrap/>
            <w:hideMark/>
          </w:tcPr>
          <w:p w14:paraId="5B814FBF" w14:textId="77777777" w:rsidR="00F43C5C" w:rsidRPr="002E5394" w:rsidRDefault="00F43C5C" w:rsidP="002E5394">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Mudanças</w:t>
            </w:r>
          </w:p>
        </w:tc>
        <w:tc>
          <w:tcPr>
            <w:tcW w:w="0" w:type="dxa"/>
            <w:tcBorders>
              <w:left w:val="nil"/>
              <w:right w:val="nil"/>
            </w:tcBorders>
            <w:noWrap/>
            <w:hideMark/>
          </w:tcPr>
          <w:p w14:paraId="0ADD3033" w14:textId="77777777" w:rsidR="00F43C5C" w:rsidRPr="002E5394" w:rsidRDefault="00F43C5C" w:rsidP="002E5394">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Média do setor</w:t>
            </w:r>
          </w:p>
        </w:tc>
      </w:tr>
      <w:tr w:rsidR="00F43C5C" w:rsidRPr="002E5394" w14:paraId="1CC9422C"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1CFD049F"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automotiva</w:t>
            </w:r>
          </w:p>
        </w:tc>
        <w:tc>
          <w:tcPr>
            <w:tcW w:w="1456" w:type="dxa"/>
            <w:tcBorders>
              <w:left w:val="nil"/>
              <w:right w:val="nil"/>
            </w:tcBorders>
            <w:noWrap/>
            <w:hideMark/>
          </w:tcPr>
          <w:p w14:paraId="31A7037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354" w:type="dxa"/>
            <w:tcBorders>
              <w:left w:val="nil"/>
              <w:right w:val="nil"/>
            </w:tcBorders>
            <w:noWrap/>
            <w:hideMark/>
          </w:tcPr>
          <w:p w14:paraId="6F3D569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10</w:t>
            </w:r>
          </w:p>
        </w:tc>
        <w:tc>
          <w:tcPr>
            <w:tcW w:w="0" w:type="dxa"/>
            <w:tcBorders>
              <w:left w:val="nil"/>
              <w:right w:val="nil"/>
            </w:tcBorders>
            <w:noWrap/>
            <w:hideMark/>
          </w:tcPr>
          <w:p w14:paraId="1F3058BE"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1,67</w:t>
            </w:r>
          </w:p>
        </w:tc>
      </w:tr>
      <w:tr w:rsidR="00F43C5C" w:rsidRPr="002E5394" w14:paraId="75D6A858"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6FFC60F5"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Energia</w:t>
            </w:r>
          </w:p>
        </w:tc>
        <w:tc>
          <w:tcPr>
            <w:tcW w:w="1456" w:type="dxa"/>
            <w:tcBorders>
              <w:left w:val="nil"/>
              <w:right w:val="nil"/>
            </w:tcBorders>
            <w:noWrap/>
            <w:hideMark/>
          </w:tcPr>
          <w:p w14:paraId="40208214"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w:t>
            </w:r>
          </w:p>
        </w:tc>
        <w:tc>
          <w:tcPr>
            <w:tcW w:w="1354" w:type="dxa"/>
            <w:tcBorders>
              <w:left w:val="nil"/>
              <w:right w:val="nil"/>
            </w:tcBorders>
            <w:noWrap/>
            <w:hideMark/>
          </w:tcPr>
          <w:p w14:paraId="3A2B0279"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15</w:t>
            </w:r>
          </w:p>
        </w:tc>
        <w:tc>
          <w:tcPr>
            <w:tcW w:w="0" w:type="dxa"/>
            <w:tcBorders>
              <w:left w:val="nil"/>
              <w:right w:val="nil"/>
            </w:tcBorders>
            <w:noWrap/>
            <w:hideMark/>
          </w:tcPr>
          <w:p w14:paraId="1F0AA131"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1,36</w:t>
            </w:r>
          </w:p>
        </w:tc>
      </w:tr>
      <w:tr w:rsidR="00F43C5C" w:rsidRPr="002E5394" w14:paraId="39DEBF19"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4705261D"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Siderurgia e metalurgia</w:t>
            </w:r>
          </w:p>
        </w:tc>
        <w:tc>
          <w:tcPr>
            <w:tcW w:w="1456" w:type="dxa"/>
            <w:tcBorders>
              <w:left w:val="nil"/>
              <w:right w:val="nil"/>
            </w:tcBorders>
            <w:noWrap/>
            <w:hideMark/>
          </w:tcPr>
          <w:p w14:paraId="2B9400F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354" w:type="dxa"/>
            <w:tcBorders>
              <w:left w:val="nil"/>
              <w:right w:val="nil"/>
            </w:tcBorders>
            <w:noWrap/>
            <w:hideMark/>
          </w:tcPr>
          <w:p w14:paraId="67F6338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0" w:type="dxa"/>
            <w:tcBorders>
              <w:left w:val="nil"/>
              <w:right w:val="nil"/>
            </w:tcBorders>
            <w:noWrap/>
            <w:hideMark/>
          </w:tcPr>
          <w:p w14:paraId="6B23075F"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1,17</w:t>
            </w:r>
          </w:p>
        </w:tc>
      </w:tr>
      <w:tr w:rsidR="00F43C5C" w:rsidRPr="002E5394" w14:paraId="3AB72F2F"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3155F807"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Bancos e serviços financeiros</w:t>
            </w:r>
          </w:p>
        </w:tc>
        <w:tc>
          <w:tcPr>
            <w:tcW w:w="1456" w:type="dxa"/>
            <w:tcBorders>
              <w:left w:val="nil"/>
              <w:right w:val="nil"/>
            </w:tcBorders>
            <w:noWrap/>
            <w:hideMark/>
          </w:tcPr>
          <w:p w14:paraId="4A18E522"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10</w:t>
            </w:r>
          </w:p>
        </w:tc>
        <w:tc>
          <w:tcPr>
            <w:tcW w:w="1354" w:type="dxa"/>
            <w:tcBorders>
              <w:left w:val="nil"/>
              <w:right w:val="nil"/>
            </w:tcBorders>
            <w:noWrap/>
            <w:hideMark/>
          </w:tcPr>
          <w:p w14:paraId="381B12D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w:t>
            </w:r>
          </w:p>
        </w:tc>
        <w:tc>
          <w:tcPr>
            <w:tcW w:w="0" w:type="dxa"/>
            <w:tcBorders>
              <w:left w:val="nil"/>
              <w:right w:val="nil"/>
            </w:tcBorders>
            <w:noWrap/>
            <w:hideMark/>
          </w:tcPr>
          <w:p w14:paraId="01AF3CA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1,10</w:t>
            </w:r>
          </w:p>
        </w:tc>
      </w:tr>
      <w:tr w:rsidR="00F43C5C" w:rsidRPr="002E5394" w14:paraId="4EB11C96"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2099E75C"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Bens de consumo e varejo</w:t>
            </w:r>
          </w:p>
        </w:tc>
        <w:tc>
          <w:tcPr>
            <w:tcW w:w="1456" w:type="dxa"/>
            <w:tcBorders>
              <w:left w:val="nil"/>
              <w:right w:val="nil"/>
            </w:tcBorders>
            <w:noWrap/>
            <w:hideMark/>
          </w:tcPr>
          <w:p w14:paraId="4B4D714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10</w:t>
            </w:r>
          </w:p>
        </w:tc>
        <w:tc>
          <w:tcPr>
            <w:tcW w:w="1354" w:type="dxa"/>
            <w:tcBorders>
              <w:left w:val="nil"/>
              <w:right w:val="nil"/>
            </w:tcBorders>
            <w:noWrap/>
            <w:hideMark/>
          </w:tcPr>
          <w:p w14:paraId="74FF040F"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9</w:t>
            </w:r>
          </w:p>
        </w:tc>
        <w:tc>
          <w:tcPr>
            <w:tcW w:w="0" w:type="dxa"/>
            <w:tcBorders>
              <w:left w:val="nil"/>
              <w:right w:val="nil"/>
            </w:tcBorders>
            <w:noWrap/>
            <w:hideMark/>
          </w:tcPr>
          <w:p w14:paraId="764BA2C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0,90</w:t>
            </w:r>
          </w:p>
        </w:tc>
      </w:tr>
      <w:tr w:rsidR="00F43C5C" w:rsidRPr="002E5394" w14:paraId="6BAF91C3"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7BA29469"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farmacêutica, de higiene e cosméticos</w:t>
            </w:r>
          </w:p>
        </w:tc>
        <w:tc>
          <w:tcPr>
            <w:tcW w:w="1456" w:type="dxa"/>
            <w:tcBorders>
              <w:left w:val="nil"/>
              <w:right w:val="nil"/>
            </w:tcBorders>
            <w:noWrap/>
            <w:hideMark/>
          </w:tcPr>
          <w:p w14:paraId="27246BE5"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354" w:type="dxa"/>
            <w:tcBorders>
              <w:left w:val="nil"/>
              <w:right w:val="nil"/>
            </w:tcBorders>
            <w:noWrap/>
            <w:hideMark/>
          </w:tcPr>
          <w:p w14:paraId="3B4BEB76"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5</w:t>
            </w:r>
          </w:p>
        </w:tc>
        <w:tc>
          <w:tcPr>
            <w:tcW w:w="0" w:type="dxa"/>
            <w:tcBorders>
              <w:left w:val="nil"/>
              <w:right w:val="nil"/>
            </w:tcBorders>
            <w:noWrap/>
            <w:hideMark/>
          </w:tcPr>
          <w:p w14:paraId="6A94DB57"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0,83</w:t>
            </w:r>
          </w:p>
        </w:tc>
      </w:tr>
      <w:tr w:rsidR="00F43C5C" w:rsidRPr="002E5394" w14:paraId="5949DF6F"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4977DB07"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Tecnologia e computação</w:t>
            </w:r>
          </w:p>
        </w:tc>
        <w:tc>
          <w:tcPr>
            <w:tcW w:w="1456" w:type="dxa"/>
            <w:tcBorders>
              <w:left w:val="nil"/>
              <w:right w:val="nil"/>
            </w:tcBorders>
            <w:noWrap/>
            <w:hideMark/>
          </w:tcPr>
          <w:p w14:paraId="161A78AF"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w:t>
            </w:r>
          </w:p>
        </w:tc>
        <w:tc>
          <w:tcPr>
            <w:tcW w:w="1354" w:type="dxa"/>
            <w:tcBorders>
              <w:left w:val="nil"/>
              <w:right w:val="nil"/>
            </w:tcBorders>
            <w:noWrap/>
            <w:hideMark/>
          </w:tcPr>
          <w:p w14:paraId="10947C96"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0" w:type="dxa"/>
            <w:tcBorders>
              <w:left w:val="nil"/>
              <w:right w:val="nil"/>
            </w:tcBorders>
            <w:noWrap/>
            <w:hideMark/>
          </w:tcPr>
          <w:p w14:paraId="2B7C440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0,64</w:t>
            </w:r>
          </w:p>
        </w:tc>
      </w:tr>
      <w:tr w:rsidR="00F43C5C" w:rsidRPr="002E5394" w14:paraId="08353E76"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020D95F2"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de alimentos, bebida e fumo</w:t>
            </w:r>
          </w:p>
        </w:tc>
        <w:tc>
          <w:tcPr>
            <w:tcW w:w="1456" w:type="dxa"/>
            <w:tcBorders>
              <w:left w:val="nil"/>
              <w:right w:val="nil"/>
            </w:tcBorders>
            <w:noWrap/>
            <w:hideMark/>
          </w:tcPr>
          <w:p w14:paraId="5E3E189D"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1354" w:type="dxa"/>
            <w:tcBorders>
              <w:left w:val="nil"/>
              <w:right w:val="nil"/>
            </w:tcBorders>
            <w:noWrap/>
            <w:hideMark/>
          </w:tcPr>
          <w:p w14:paraId="0F43259E"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4</w:t>
            </w:r>
          </w:p>
        </w:tc>
        <w:tc>
          <w:tcPr>
            <w:tcW w:w="0" w:type="dxa"/>
            <w:tcBorders>
              <w:left w:val="nil"/>
              <w:right w:val="nil"/>
            </w:tcBorders>
            <w:noWrap/>
            <w:hideMark/>
          </w:tcPr>
          <w:p w14:paraId="1E06DC11"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0,50</w:t>
            </w:r>
          </w:p>
        </w:tc>
      </w:tr>
      <w:tr w:rsidR="00F43C5C" w:rsidRPr="002E5394" w14:paraId="116C7C00"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7DA9F6E0"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química e petroquímica</w:t>
            </w:r>
          </w:p>
        </w:tc>
        <w:tc>
          <w:tcPr>
            <w:tcW w:w="1456" w:type="dxa"/>
            <w:tcBorders>
              <w:left w:val="nil"/>
              <w:right w:val="nil"/>
            </w:tcBorders>
            <w:noWrap/>
            <w:hideMark/>
          </w:tcPr>
          <w:p w14:paraId="7C70F08C"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1354" w:type="dxa"/>
            <w:tcBorders>
              <w:left w:val="nil"/>
              <w:right w:val="nil"/>
            </w:tcBorders>
            <w:noWrap/>
            <w:hideMark/>
          </w:tcPr>
          <w:p w14:paraId="13C930C2"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4</w:t>
            </w:r>
          </w:p>
        </w:tc>
        <w:tc>
          <w:tcPr>
            <w:tcW w:w="0" w:type="dxa"/>
            <w:tcBorders>
              <w:left w:val="nil"/>
              <w:right w:val="nil"/>
            </w:tcBorders>
            <w:noWrap/>
            <w:hideMark/>
          </w:tcPr>
          <w:p w14:paraId="28604CB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0,50</w:t>
            </w:r>
          </w:p>
        </w:tc>
      </w:tr>
      <w:tr w:rsidR="00F43C5C" w:rsidRPr="002E5394" w14:paraId="6976BC07"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09DDCC38"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de construção</w:t>
            </w:r>
          </w:p>
        </w:tc>
        <w:tc>
          <w:tcPr>
            <w:tcW w:w="1456" w:type="dxa"/>
            <w:tcBorders>
              <w:left w:val="nil"/>
              <w:right w:val="nil"/>
            </w:tcBorders>
            <w:noWrap/>
            <w:hideMark/>
          </w:tcPr>
          <w:p w14:paraId="1CF02702"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1354" w:type="dxa"/>
            <w:tcBorders>
              <w:left w:val="nil"/>
              <w:right w:val="nil"/>
            </w:tcBorders>
            <w:noWrap/>
            <w:hideMark/>
          </w:tcPr>
          <w:p w14:paraId="4415471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3</w:t>
            </w:r>
          </w:p>
        </w:tc>
        <w:tc>
          <w:tcPr>
            <w:tcW w:w="0" w:type="dxa"/>
            <w:tcBorders>
              <w:left w:val="nil"/>
              <w:right w:val="nil"/>
            </w:tcBorders>
            <w:noWrap/>
            <w:hideMark/>
          </w:tcPr>
          <w:p w14:paraId="7F548B7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0,43</w:t>
            </w:r>
          </w:p>
        </w:tc>
      </w:tr>
      <w:tr w:rsidR="00F43C5C" w:rsidRPr="002E5394" w14:paraId="7F69E36E"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0B183F20"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Serviços de saúde</w:t>
            </w:r>
          </w:p>
        </w:tc>
        <w:tc>
          <w:tcPr>
            <w:tcW w:w="1456" w:type="dxa"/>
            <w:tcBorders>
              <w:left w:val="nil"/>
              <w:right w:val="nil"/>
            </w:tcBorders>
            <w:noWrap/>
            <w:hideMark/>
          </w:tcPr>
          <w:p w14:paraId="3C3A554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21</w:t>
            </w:r>
          </w:p>
        </w:tc>
        <w:tc>
          <w:tcPr>
            <w:tcW w:w="1354" w:type="dxa"/>
            <w:tcBorders>
              <w:left w:val="nil"/>
              <w:right w:val="nil"/>
            </w:tcBorders>
            <w:noWrap/>
            <w:hideMark/>
          </w:tcPr>
          <w:p w14:paraId="24E6C73C"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0" w:type="dxa"/>
            <w:tcBorders>
              <w:left w:val="nil"/>
              <w:right w:val="nil"/>
            </w:tcBorders>
            <w:noWrap/>
            <w:hideMark/>
          </w:tcPr>
          <w:p w14:paraId="447609FC"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0,38</w:t>
            </w:r>
          </w:p>
        </w:tc>
      </w:tr>
      <w:tr w:rsidR="00F43C5C" w:rsidRPr="002E5394" w14:paraId="0C8AA72B"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1C46FFD4"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Telecomunicações</w:t>
            </w:r>
          </w:p>
        </w:tc>
        <w:tc>
          <w:tcPr>
            <w:tcW w:w="1456" w:type="dxa"/>
            <w:tcBorders>
              <w:left w:val="nil"/>
              <w:right w:val="nil"/>
            </w:tcBorders>
            <w:noWrap/>
            <w:hideMark/>
          </w:tcPr>
          <w:p w14:paraId="6AD12E12"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3</w:t>
            </w:r>
          </w:p>
        </w:tc>
        <w:tc>
          <w:tcPr>
            <w:tcW w:w="1354" w:type="dxa"/>
            <w:tcBorders>
              <w:left w:val="nil"/>
              <w:right w:val="nil"/>
            </w:tcBorders>
            <w:noWrap/>
            <w:hideMark/>
          </w:tcPr>
          <w:p w14:paraId="75E1625F"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w:t>
            </w:r>
          </w:p>
        </w:tc>
        <w:tc>
          <w:tcPr>
            <w:tcW w:w="0" w:type="dxa"/>
            <w:tcBorders>
              <w:left w:val="nil"/>
              <w:right w:val="nil"/>
            </w:tcBorders>
            <w:noWrap/>
            <w:hideMark/>
          </w:tcPr>
          <w:p w14:paraId="6287BDD6"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0,33</w:t>
            </w:r>
          </w:p>
        </w:tc>
      </w:tr>
      <w:tr w:rsidR="00F43C5C" w:rsidRPr="002E5394" w14:paraId="341BBFD2"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3E3BC9BA"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Indústrias diversas</w:t>
            </w:r>
          </w:p>
        </w:tc>
        <w:tc>
          <w:tcPr>
            <w:tcW w:w="1456" w:type="dxa"/>
            <w:tcBorders>
              <w:left w:val="nil"/>
              <w:right w:val="nil"/>
            </w:tcBorders>
            <w:noWrap/>
            <w:hideMark/>
          </w:tcPr>
          <w:p w14:paraId="16B6CBC0"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17</w:t>
            </w:r>
          </w:p>
        </w:tc>
        <w:tc>
          <w:tcPr>
            <w:tcW w:w="1354" w:type="dxa"/>
            <w:tcBorders>
              <w:left w:val="nil"/>
              <w:right w:val="nil"/>
            </w:tcBorders>
            <w:noWrap/>
            <w:hideMark/>
          </w:tcPr>
          <w:p w14:paraId="7DB33CC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5</w:t>
            </w:r>
          </w:p>
        </w:tc>
        <w:tc>
          <w:tcPr>
            <w:tcW w:w="0" w:type="dxa"/>
            <w:tcBorders>
              <w:left w:val="nil"/>
              <w:right w:val="nil"/>
            </w:tcBorders>
            <w:noWrap/>
            <w:hideMark/>
          </w:tcPr>
          <w:p w14:paraId="603032D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0,29</w:t>
            </w:r>
          </w:p>
        </w:tc>
      </w:tr>
      <w:tr w:rsidR="00F43C5C" w:rsidRPr="002E5394" w14:paraId="0A202762"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279AA0F9"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Serviços de transporte e logística</w:t>
            </w:r>
          </w:p>
        </w:tc>
        <w:tc>
          <w:tcPr>
            <w:tcW w:w="1456" w:type="dxa"/>
            <w:tcBorders>
              <w:left w:val="nil"/>
              <w:right w:val="nil"/>
            </w:tcBorders>
            <w:noWrap/>
            <w:hideMark/>
          </w:tcPr>
          <w:p w14:paraId="721E4772"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4</w:t>
            </w:r>
          </w:p>
        </w:tc>
        <w:tc>
          <w:tcPr>
            <w:tcW w:w="1354" w:type="dxa"/>
            <w:tcBorders>
              <w:left w:val="nil"/>
              <w:right w:val="nil"/>
            </w:tcBorders>
            <w:noWrap/>
            <w:hideMark/>
          </w:tcPr>
          <w:p w14:paraId="0EA7DC3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w:t>
            </w:r>
          </w:p>
        </w:tc>
        <w:tc>
          <w:tcPr>
            <w:tcW w:w="0" w:type="dxa"/>
            <w:tcBorders>
              <w:left w:val="nil"/>
              <w:right w:val="nil"/>
            </w:tcBorders>
            <w:noWrap/>
            <w:hideMark/>
          </w:tcPr>
          <w:p w14:paraId="58B746B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0,25</w:t>
            </w:r>
          </w:p>
        </w:tc>
      </w:tr>
      <w:tr w:rsidR="00F43C5C" w:rsidRPr="002E5394" w14:paraId="2C6981E8"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0E9392BA"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Serviços diversos</w:t>
            </w:r>
          </w:p>
        </w:tc>
        <w:tc>
          <w:tcPr>
            <w:tcW w:w="1456" w:type="dxa"/>
            <w:tcBorders>
              <w:left w:val="nil"/>
              <w:right w:val="nil"/>
            </w:tcBorders>
            <w:noWrap/>
            <w:hideMark/>
          </w:tcPr>
          <w:p w14:paraId="4E709EE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15</w:t>
            </w:r>
          </w:p>
        </w:tc>
        <w:tc>
          <w:tcPr>
            <w:tcW w:w="1354" w:type="dxa"/>
            <w:tcBorders>
              <w:left w:val="nil"/>
              <w:right w:val="nil"/>
            </w:tcBorders>
            <w:noWrap/>
            <w:hideMark/>
          </w:tcPr>
          <w:p w14:paraId="518D83CC"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w:t>
            </w:r>
          </w:p>
        </w:tc>
        <w:tc>
          <w:tcPr>
            <w:tcW w:w="0" w:type="dxa"/>
            <w:tcBorders>
              <w:left w:val="nil"/>
              <w:right w:val="nil"/>
            </w:tcBorders>
            <w:noWrap/>
            <w:hideMark/>
          </w:tcPr>
          <w:p w14:paraId="3D060E90"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0,13</w:t>
            </w:r>
          </w:p>
        </w:tc>
      </w:tr>
      <w:tr w:rsidR="00F43C5C" w:rsidRPr="002E5394" w14:paraId="359E19EB"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66A961B8"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Comércio atacadista</w:t>
            </w:r>
          </w:p>
        </w:tc>
        <w:tc>
          <w:tcPr>
            <w:tcW w:w="1456" w:type="dxa"/>
            <w:tcBorders>
              <w:left w:val="nil"/>
              <w:right w:val="nil"/>
            </w:tcBorders>
            <w:noWrap/>
            <w:hideMark/>
          </w:tcPr>
          <w:p w14:paraId="0B16B1C7"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w:t>
            </w:r>
          </w:p>
        </w:tc>
        <w:tc>
          <w:tcPr>
            <w:tcW w:w="1354" w:type="dxa"/>
            <w:tcBorders>
              <w:left w:val="nil"/>
              <w:right w:val="nil"/>
            </w:tcBorders>
            <w:noWrap/>
            <w:hideMark/>
          </w:tcPr>
          <w:p w14:paraId="00AEE248"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w:t>
            </w:r>
          </w:p>
        </w:tc>
        <w:tc>
          <w:tcPr>
            <w:tcW w:w="0" w:type="dxa"/>
            <w:tcBorders>
              <w:left w:val="nil"/>
              <w:right w:val="nil"/>
            </w:tcBorders>
            <w:noWrap/>
            <w:hideMark/>
          </w:tcPr>
          <w:p w14:paraId="502BA678"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0,00</w:t>
            </w:r>
          </w:p>
        </w:tc>
      </w:tr>
      <w:tr w:rsidR="00F43C5C" w:rsidRPr="002E5394" w14:paraId="729FCD1A"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0D5526E3"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Eletroeletrônico</w:t>
            </w:r>
          </w:p>
        </w:tc>
        <w:tc>
          <w:tcPr>
            <w:tcW w:w="1456" w:type="dxa"/>
            <w:tcBorders>
              <w:left w:val="nil"/>
              <w:right w:val="nil"/>
            </w:tcBorders>
            <w:noWrap/>
            <w:hideMark/>
          </w:tcPr>
          <w:p w14:paraId="16C19621"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w:t>
            </w:r>
          </w:p>
        </w:tc>
        <w:tc>
          <w:tcPr>
            <w:tcW w:w="1354" w:type="dxa"/>
            <w:tcBorders>
              <w:left w:val="nil"/>
              <w:right w:val="nil"/>
            </w:tcBorders>
            <w:noWrap/>
            <w:hideMark/>
          </w:tcPr>
          <w:p w14:paraId="1BA9244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w:t>
            </w:r>
          </w:p>
        </w:tc>
        <w:tc>
          <w:tcPr>
            <w:tcW w:w="0" w:type="dxa"/>
            <w:tcBorders>
              <w:left w:val="nil"/>
              <w:right w:val="nil"/>
            </w:tcBorders>
            <w:noWrap/>
            <w:hideMark/>
          </w:tcPr>
          <w:p w14:paraId="42E1FC7B"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0,00</w:t>
            </w:r>
          </w:p>
        </w:tc>
      </w:tr>
      <w:tr w:rsidR="00F43C5C" w:rsidRPr="002E5394" w14:paraId="4680F76A"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778C5727"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de papel e celulose</w:t>
            </w:r>
          </w:p>
        </w:tc>
        <w:tc>
          <w:tcPr>
            <w:tcW w:w="1456" w:type="dxa"/>
            <w:tcBorders>
              <w:left w:val="nil"/>
              <w:right w:val="nil"/>
            </w:tcBorders>
            <w:noWrap/>
            <w:hideMark/>
          </w:tcPr>
          <w:p w14:paraId="5DF864FC"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w:t>
            </w:r>
          </w:p>
        </w:tc>
        <w:tc>
          <w:tcPr>
            <w:tcW w:w="1354" w:type="dxa"/>
            <w:tcBorders>
              <w:left w:val="nil"/>
              <w:right w:val="nil"/>
            </w:tcBorders>
            <w:noWrap/>
            <w:hideMark/>
          </w:tcPr>
          <w:p w14:paraId="1D46EE17"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w:t>
            </w:r>
          </w:p>
        </w:tc>
        <w:tc>
          <w:tcPr>
            <w:tcW w:w="0" w:type="dxa"/>
            <w:tcBorders>
              <w:left w:val="nil"/>
              <w:right w:val="nil"/>
            </w:tcBorders>
            <w:noWrap/>
            <w:hideMark/>
          </w:tcPr>
          <w:p w14:paraId="4528BA54"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0,00</w:t>
            </w:r>
          </w:p>
        </w:tc>
      </w:tr>
      <w:tr w:rsidR="00F43C5C" w:rsidRPr="002E5394" w14:paraId="4B0DCEE9"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5CA0819C"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Produção e agropecuária</w:t>
            </w:r>
          </w:p>
        </w:tc>
        <w:tc>
          <w:tcPr>
            <w:tcW w:w="1456" w:type="dxa"/>
            <w:tcBorders>
              <w:left w:val="nil"/>
              <w:right w:val="nil"/>
            </w:tcBorders>
            <w:noWrap/>
            <w:hideMark/>
          </w:tcPr>
          <w:p w14:paraId="1499314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w:t>
            </w:r>
          </w:p>
        </w:tc>
        <w:tc>
          <w:tcPr>
            <w:tcW w:w="1354" w:type="dxa"/>
            <w:tcBorders>
              <w:left w:val="nil"/>
              <w:right w:val="nil"/>
            </w:tcBorders>
            <w:noWrap/>
            <w:hideMark/>
          </w:tcPr>
          <w:p w14:paraId="5404A1C6"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w:t>
            </w:r>
          </w:p>
        </w:tc>
        <w:tc>
          <w:tcPr>
            <w:tcW w:w="0" w:type="dxa"/>
            <w:tcBorders>
              <w:left w:val="nil"/>
              <w:right w:val="nil"/>
            </w:tcBorders>
            <w:noWrap/>
            <w:hideMark/>
          </w:tcPr>
          <w:p w14:paraId="50BF041E"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0,00</w:t>
            </w:r>
          </w:p>
        </w:tc>
      </w:tr>
      <w:tr w:rsidR="00F43C5C" w:rsidRPr="002E5394" w14:paraId="3115B40C" w14:textId="77777777" w:rsidTr="00E06443">
        <w:trPr>
          <w:trHeight w:val="252"/>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6BC79C94"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Indústria extrativa</w:t>
            </w:r>
          </w:p>
        </w:tc>
        <w:tc>
          <w:tcPr>
            <w:tcW w:w="1456" w:type="dxa"/>
            <w:tcBorders>
              <w:left w:val="nil"/>
              <w:right w:val="nil"/>
            </w:tcBorders>
            <w:noWrap/>
            <w:hideMark/>
          </w:tcPr>
          <w:p w14:paraId="63CED519"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w:t>
            </w:r>
          </w:p>
        </w:tc>
        <w:tc>
          <w:tcPr>
            <w:tcW w:w="1354" w:type="dxa"/>
            <w:tcBorders>
              <w:left w:val="nil"/>
              <w:right w:val="nil"/>
            </w:tcBorders>
            <w:noWrap/>
            <w:hideMark/>
          </w:tcPr>
          <w:p w14:paraId="10D1F953"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w:t>
            </w:r>
          </w:p>
        </w:tc>
        <w:tc>
          <w:tcPr>
            <w:tcW w:w="0" w:type="dxa"/>
            <w:tcBorders>
              <w:left w:val="nil"/>
              <w:right w:val="nil"/>
            </w:tcBorders>
            <w:noWrap/>
            <w:hideMark/>
          </w:tcPr>
          <w:p w14:paraId="6256A570"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0,00</w:t>
            </w:r>
          </w:p>
        </w:tc>
      </w:tr>
      <w:tr w:rsidR="00F43C5C" w:rsidRPr="002E5394" w14:paraId="70D1DA1E" w14:textId="77777777" w:rsidTr="00E06443">
        <w:trPr>
          <w:trHeight w:val="240"/>
          <w:jc w:val="center"/>
        </w:trPr>
        <w:tc>
          <w:tcPr>
            <w:cnfStyle w:val="001000000000" w:firstRow="0" w:lastRow="0" w:firstColumn="1" w:lastColumn="0" w:oddVBand="0" w:evenVBand="0" w:oddHBand="0" w:evenHBand="0" w:firstRowFirstColumn="0" w:firstRowLastColumn="0" w:lastRowFirstColumn="0" w:lastRowLastColumn="0"/>
            <w:tcW w:w="0" w:type="dxa"/>
            <w:tcBorders>
              <w:left w:val="nil"/>
              <w:right w:val="nil"/>
            </w:tcBorders>
            <w:noWrap/>
            <w:hideMark/>
          </w:tcPr>
          <w:p w14:paraId="28A8FB97" w14:textId="77777777" w:rsidR="00F43C5C" w:rsidRPr="002E5394" w:rsidRDefault="00F43C5C" w:rsidP="002E5394">
            <w:pPr>
              <w:spacing w:after="120"/>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Total</w:t>
            </w:r>
          </w:p>
        </w:tc>
        <w:tc>
          <w:tcPr>
            <w:tcW w:w="1456" w:type="dxa"/>
            <w:tcBorders>
              <w:left w:val="nil"/>
              <w:right w:val="nil"/>
            </w:tcBorders>
            <w:noWrap/>
            <w:hideMark/>
          </w:tcPr>
          <w:p w14:paraId="75C8916A"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150</w:t>
            </w:r>
          </w:p>
        </w:tc>
        <w:tc>
          <w:tcPr>
            <w:tcW w:w="1354" w:type="dxa"/>
            <w:tcBorders>
              <w:left w:val="nil"/>
              <w:right w:val="nil"/>
            </w:tcBorders>
            <w:noWrap/>
            <w:hideMark/>
          </w:tcPr>
          <w:p w14:paraId="2A7F8D3D"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92</w:t>
            </w:r>
          </w:p>
        </w:tc>
        <w:tc>
          <w:tcPr>
            <w:tcW w:w="0" w:type="dxa"/>
            <w:tcBorders>
              <w:left w:val="nil"/>
              <w:right w:val="nil"/>
            </w:tcBorders>
            <w:noWrap/>
            <w:hideMark/>
          </w:tcPr>
          <w:p w14:paraId="7A5A2F34" w14:textId="77777777" w:rsidR="00F43C5C" w:rsidRPr="002E5394" w:rsidRDefault="00F43C5C" w:rsidP="002E5394">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0,61</w:t>
            </w:r>
          </w:p>
        </w:tc>
      </w:tr>
    </w:tbl>
    <w:p w14:paraId="3DA9B765" w14:textId="77777777" w:rsidR="002E5394" w:rsidRDefault="002E5394" w:rsidP="002E5394">
      <w:pPr>
        <w:spacing w:after="120" w:line="240" w:lineRule="auto"/>
        <w:jc w:val="both"/>
        <w:rPr>
          <w:rFonts w:ascii="Times New Roman" w:hAnsi="Times New Roman" w:cs="Times New Roman"/>
          <w:sz w:val="24"/>
          <w:szCs w:val="24"/>
        </w:rPr>
      </w:pPr>
    </w:p>
    <w:p w14:paraId="32ED7954" w14:textId="77777777" w:rsidR="00F43C5C" w:rsidRPr="002E5394" w:rsidRDefault="00F43C5C" w:rsidP="002E5394">
      <w:pPr>
        <w:spacing w:after="120" w:line="240" w:lineRule="auto"/>
        <w:jc w:val="both"/>
        <w:rPr>
          <w:rFonts w:ascii="Times New Roman" w:hAnsi="Times New Roman" w:cs="Times New Roman"/>
          <w:sz w:val="20"/>
          <w:szCs w:val="20"/>
        </w:rPr>
      </w:pPr>
      <w:r w:rsidRPr="002E5394">
        <w:rPr>
          <w:rFonts w:ascii="Times New Roman" w:hAnsi="Times New Roman" w:cs="Times New Roman"/>
          <w:sz w:val="24"/>
          <w:szCs w:val="24"/>
        </w:rPr>
        <w:t>Quanto as mudanças por porte de empresa, das 92 mudanças na ARH, 6 foram em 3 empresas de médio porte (&lt; 200 empregados), todas elas no seguimento de tecnologia e computação. Contudo, ao se avaliar o número de mudanças em relação ao número de empresas de cada porte, não se encontra uma grande diferença de ocorrências de mudanças pelo porte da empresa, conforme a tabela seguinte.</w:t>
      </w:r>
    </w:p>
    <w:p w14:paraId="5B546AF9" w14:textId="77777777" w:rsidR="00F43C5C" w:rsidRPr="002E5394" w:rsidRDefault="00F43C5C" w:rsidP="002E5394">
      <w:pPr>
        <w:pStyle w:val="Legenda"/>
        <w:spacing w:after="120"/>
      </w:pPr>
      <w:bookmarkStart w:id="4" w:name="_Toc503964551"/>
      <w:r w:rsidRPr="002E5394">
        <w:rPr>
          <w:caps w:val="0"/>
        </w:rPr>
        <w:lastRenderedPageBreak/>
        <w:t>Tabela 2</w:t>
      </w:r>
      <w:r w:rsidRPr="002E5394">
        <w:t xml:space="preserve"> -</w:t>
      </w:r>
      <w:r w:rsidRPr="002E5394">
        <w:rPr>
          <w:caps w:val="0"/>
        </w:rPr>
        <w:t xml:space="preserve"> Mudanças na administração de recursos humanos</w:t>
      </w:r>
      <w:r w:rsidRPr="002E5394">
        <w:t xml:space="preserve"> </w:t>
      </w:r>
      <w:r w:rsidRPr="002E5394">
        <w:rPr>
          <w:caps w:val="0"/>
        </w:rPr>
        <w:t>por porte da organização</w:t>
      </w:r>
      <w:bookmarkEnd w:id="4"/>
    </w:p>
    <w:tbl>
      <w:tblPr>
        <w:tblW w:w="9072" w:type="dxa"/>
        <w:jc w:val="center"/>
        <w:tblCellMar>
          <w:left w:w="70" w:type="dxa"/>
          <w:right w:w="70" w:type="dxa"/>
        </w:tblCellMar>
        <w:tblLook w:val="04A0" w:firstRow="1" w:lastRow="0" w:firstColumn="1" w:lastColumn="0" w:noHBand="0" w:noVBand="1"/>
      </w:tblPr>
      <w:tblGrid>
        <w:gridCol w:w="2616"/>
        <w:gridCol w:w="2219"/>
        <w:gridCol w:w="2220"/>
        <w:gridCol w:w="2017"/>
      </w:tblGrid>
      <w:tr w:rsidR="00F43C5C" w:rsidRPr="002E5394" w14:paraId="19BC383D"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5098BC08"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Empregados</w:t>
            </w:r>
          </w:p>
        </w:tc>
        <w:tc>
          <w:tcPr>
            <w:tcW w:w="1559" w:type="dxa"/>
            <w:tcBorders>
              <w:top w:val="single" w:sz="4" w:space="0" w:color="auto"/>
              <w:bottom w:val="single" w:sz="4" w:space="0" w:color="auto"/>
            </w:tcBorders>
            <w:shd w:val="clear" w:color="auto" w:fill="auto"/>
            <w:noWrap/>
            <w:vAlign w:val="bottom"/>
            <w:hideMark/>
          </w:tcPr>
          <w:p w14:paraId="0E725620"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Número de empresas</w:t>
            </w:r>
          </w:p>
        </w:tc>
        <w:tc>
          <w:tcPr>
            <w:tcW w:w="1560" w:type="dxa"/>
            <w:tcBorders>
              <w:top w:val="single" w:sz="4" w:space="0" w:color="auto"/>
              <w:bottom w:val="single" w:sz="4" w:space="0" w:color="auto"/>
            </w:tcBorders>
            <w:shd w:val="clear" w:color="auto" w:fill="auto"/>
            <w:noWrap/>
            <w:vAlign w:val="bottom"/>
            <w:hideMark/>
          </w:tcPr>
          <w:p w14:paraId="535ECD96"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Número de mudanças</w:t>
            </w:r>
          </w:p>
        </w:tc>
        <w:tc>
          <w:tcPr>
            <w:tcW w:w="1417" w:type="dxa"/>
            <w:tcBorders>
              <w:top w:val="single" w:sz="4" w:space="0" w:color="auto"/>
              <w:bottom w:val="single" w:sz="4" w:space="0" w:color="auto"/>
            </w:tcBorders>
            <w:shd w:val="clear" w:color="auto" w:fill="auto"/>
            <w:noWrap/>
            <w:vAlign w:val="bottom"/>
            <w:hideMark/>
          </w:tcPr>
          <w:p w14:paraId="7701C3A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Média</w:t>
            </w:r>
          </w:p>
        </w:tc>
      </w:tr>
      <w:tr w:rsidR="00F43C5C" w:rsidRPr="002E5394" w14:paraId="2C2A28FE"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64C629C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&lt; 200</w:t>
            </w:r>
          </w:p>
        </w:tc>
        <w:tc>
          <w:tcPr>
            <w:tcW w:w="1559" w:type="dxa"/>
            <w:tcBorders>
              <w:top w:val="single" w:sz="4" w:space="0" w:color="auto"/>
              <w:bottom w:val="single" w:sz="4" w:space="0" w:color="auto"/>
            </w:tcBorders>
            <w:shd w:val="clear" w:color="auto" w:fill="auto"/>
            <w:noWrap/>
            <w:vAlign w:val="bottom"/>
            <w:hideMark/>
          </w:tcPr>
          <w:p w14:paraId="213E1BF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3</w:t>
            </w:r>
          </w:p>
        </w:tc>
        <w:tc>
          <w:tcPr>
            <w:tcW w:w="1560" w:type="dxa"/>
            <w:tcBorders>
              <w:top w:val="single" w:sz="4" w:space="0" w:color="auto"/>
              <w:bottom w:val="single" w:sz="4" w:space="0" w:color="auto"/>
            </w:tcBorders>
            <w:shd w:val="clear" w:color="auto" w:fill="auto"/>
            <w:noWrap/>
            <w:vAlign w:val="bottom"/>
            <w:hideMark/>
          </w:tcPr>
          <w:p w14:paraId="66C40761"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417" w:type="dxa"/>
            <w:tcBorders>
              <w:top w:val="single" w:sz="4" w:space="0" w:color="auto"/>
              <w:bottom w:val="single" w:sz="4" w:space="0" w:color="auto"/>
            </w:tcBorders>
            <w:shd w:val="clear" w:color="auto" w:fill="auto"/>
            <w:noWrap/>
            <w:vAlign w:val="bottom"/>
            <w:hideMark/>
          </w:tcPr>
          <w:p w14:paraId="095C11F9"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2,00</w:t>
            </w:r>
          </w:p>
        </w:tc>
      </w:tr>
      <w:tr w:rsidR="00F43C5C" w:rsidRPr="002E5394" w14:paraId="3375122F"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68736034"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200 e 499</w:t>
            </w:r>
          </w:p>
        </w:tc>
        <w:tc>
          <w:tcPr>
            <w:tcW w:w="1559" w:type="dxa"/>
            <w:tcBorders>
              <w:top w:val="single" w:sz="4" w:space="0" w:color="auto"/>
              <w:bottom w:val="single" w:sz="4" w:space="0" w:color="auto"/>
            </w:tcBorders>
            <w:shd w:val="clear" w:color="auto" w:fill="auto"/>
            <w:noWrap/>
            <w:vAlign w:val="bottom"/>
            <w:hideMark/>
          </w:tcPr>
          <w:p w14:paraId="2D3E931E"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1560" w:type="dxa"/>
            <w:tcBorders>
              <w:top w:val="single" w:sz="4" w:space="0" w:color="auto"/>
              <w:bottom w:val="single" w:sz="4" w:space="0" w:color="auto"/>
            </w:tcBorders>
            <w:shd w:val="clear" w:color="auto" w:fill="auto"/>
            <w:noWrap/>
            <w:vAlign w:val="bottom"/>
            <w:hideMark/>
          </w:tcPr>
          <w:p w14:paraId="549EB2C6"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1417" w:type="dxa"/>
            <w:tcBorders>
              <w:top w:val="single" w:sz="4" w:space="0" w:color="auto"/>
              <w:bottom w:val="single" w:sz="4" w:space="0" w:color="auto"/>
            </w:tcBorders>
            <w:shd w:val="clear" w:color="auto" w:fill="auto"/>
            <w:noWrap/>
            <w:vAlign w:val="bottom"/>
            <w:hideMark/>
          </w:tcPr>
          <w:p w14:paraId="673D3DB4"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1,00</w:t>
            </w:r>
          </w:p>
        </w:tc>
      </w:tr>
      <w:tr w:rsidR="00F43C5C" w:rsidRPr="002E5394" w14:paraId="32095F37"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2D476F37"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500 e 999</w:t>
            </w:r>
          </w:p>
        </w:tc>
        <w:tc>
          <w:tcPr>
            <w:tcW w:w="1559" w:type="dxa"/>
            <w:tcBorders>
              <w:top w:val="single" w:sz="4" w:space="0" w:color="auto"/>
              <w:bottom w:val="single" w:sz="4" w:space="0" w:color="auto"/>
            </w:tcBorders>
            <w:shd w:val="clear" w:color="auto" w:fill="auto"/>
            <w:noWrap/>
            <w:vAlign w:val="bottom"/>
            <w:hideMark/>
          </w:tcPr>
          <w:p w14:paraId="2882582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1560" w:type="dxa"/>
            <w:tcBorders>
              <w:top w:val="single" w:sz="4" w:space="0" w:color="auto"/>
              <w:bottom w:val="single" w:sz="4" w:space="0" w:color="auto"/>
            </w:tcBorders>
            <w:shd w:val="clear" w:color="auto" w:fill="auto"/>
            <w:noWrap/>
            <w:vAlign w:val="bottom"/>
            <w:hideMark/>
          </w:tcPr>
          <w:p w14:paraId="2B7D0C2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13</w:t>
            </w:r>
          </w:p>
        </w:tc>
        <w:tc>
          <w:tcPr>
            <w:tcW w:w="1417" w:type="dxa"/>
            <w:tcBorders>
              <w:top w:val="single" w:sz="4" w:space="0" w:color="auto"/>
              <w:bottom w:val="single" w:sz="4" w:space="0" w:color="auto"/>
            </w:tcBorders>
            <w:shd w:val="clear" w:color="auto" w:fill="auto"/>
            <w:noWrap/>
            <w:vAlign w:val="bottom"/>
            <w:hideMark/>
          </w:tcPr>
          <w:p w14:paraId="774876FA"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1,86</w:t>
            </w:r>
          </w:p>
        </w:tc>
      </w:tr>
      <w:tr w:rsidR="00F43C5C" w:rsidRPr="002E5394" w14:paraId="57787634"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2C968757"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1.000 e 1.999</w:t>
            </w:r>
          </w:p>
        </w:tc>
        <w:tc>
          <w:tcPr>
            <w:tcW w:w="1559" w:type="dxa"/>
            <w:tcBorders>
              <w:top w:val="single" w:sz="4" w:space="0" w:color="auto"/>
              <w:bottom w:val="single" w:sz="4" w:space="0" w:color="auto"/>
            </w:tcBorders>
            <w:shd w:val="clear" w:color="auto" w:fill="auto"/>
            <w:noWrap/>
            <w:vAlign w:val="bottom"/>
            <w:hideMark/>
          </w:tcPr>
          <w:p w14:paraId="25D2DD96"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560" w:type="dxa"/>
            <w:tcBorders>
              <w:top w:val="single" w:sz="4" w:space="0" w:color="auto"/>
              <w:bottom w:val="single" w:sz="4" w:space="0" w:color="auto"/>
            </w:tcBorders>
            <w:shd w:val="clear" w:color="auto" w:fill="auto"/>
            <w:noWrap/>
            <w:vAlign w:val="bottom"/>
            <w:hideMark/>
          </w:tcPr>
          <w:p w14:paraId="258B9A30"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1417" w:type="dxa"/>
            <w:tcBorders>
              <w:top w:val="single" w:sz="4" w:space="0" w:color="auto"/>
              <w:bottom w:val="single" w:sz="4" w:space="0" w:color="auto"/>
            </w:tcBorders>
            <w:shd w:val="clear" w:color="auto" w:fill="auto"/>
            <w:noWrap/>
            <w:vAlign w:val="bottom"/>
            <w:hideMark/>
          </w:tcPr>
          <w:p w14:paraId="77A6DCFB"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1,33</w:t>
            </w:r>
          </w:p>
        </w:tc>
      </w:tr>
      <w:tr w:rsidR="00F43C5C" w:rsidRPr="002E5394" w14:paraId="017FC8FB"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435B8DD2"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2.000 e 2.999</w:t>
            </w:r>
          </w:p>
        </w:tc>
        <w:tc>
          <w:tcPr>
            <w:tcW w:w="1559" w:type="dxa"/>
            <w:tcBorders>
              <w:top w:val="single" w:sz="4" w:space="0" w:color="auto"/>
              <w:bottom w:val="single" w:sz="4" w:space="0" w:color="auto"/>
            </w:tcBorders>
            <w:shd w:val="clear" w:color="auto" w:fill="auto"/>
            <w:noWrap/>
            <w:vAlign w:val="bottom"/>
            <w:hideMark/>
          </w:tcPr>
          <w:p w14:paraId="2A5C7E78"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5</w:t>
            </w:r>
          </w:p>
        </w:tc>
        <w:tc>
          <w:tcPr>
            <w:tcW w:w="1560" w:type="dxa"/>
            <w:tcBorders>
              <w:top w:val="single" w:sz="4" w:space="0" w:color="auto"/>
              <w:bottom w:val="single" w:sz="4" w:space="0" w:color="auto"/>
            </w:tcBorders>
            <w:shd w:val="clear" w:color="auto" w:fill="auto"/>
            <w:noWrap/>
            <w:vAlign w:val="bottom"/>
            <w:hideMark/>
          </w:tcPr>
          <w:p w14:paraId="396C7884"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1417" w:type="dxa"/>
            <w:tcBorders>
              <w:top w:val="single" w:sz="4" w:space="0" w:color="auto"/>
              <w:bottom w:val="single" w:sz="4" w:space="0" w:color="auto"/>
            </w:tcBorders>
            <w:shd w:val="clear" w:color="auto" w:fill="auto"/>
            <w:noWrap/>
            <w:vAlign w:val="bottom"/>
            <w:hideMark/>
          </w:tcPr>
          <w:p w14:paraId="11583F44"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1,60</w:t>
            </w:r>
          </w:p>
        </w:tc>
      </w:tr>
      <w:tr w:rsidR="00F43C5C" w:rsidRPr="002E5394" w14:paraId="0EFFE69A"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1E4DFE48"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3.000 e 4.999</w:t>
            </w:r>
          </w:p>
        </w:tc>
        <w:tc>
          <w:tcPr>
            <w:tcW w:w="1559" w:type="dxa"/>
            <w:tcBorders>
              <w:top w:val="single" w:sz="4" w:space="0" w:color="auto"/>
              <w:bottom w:val="single" w:sz="4" w:space="0" w:color="auto"/>
            </w:tcBorders>
            <w:shd w:val="clear" w:color="auto" w:fill="auto"/>
            <w:noWrap/>
            <w:vAlign w:val="bottom"/>
            <w:hideMark/>
          </w:tcPr>
          <w:p w14:paraId="3120D35F"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6</w:t>
            </w:r>
          </w:p>
        </w:tc>
        <w:tc>
          <w:tcPr>
            <w:tcW w:w="1560" w:type="dxa"/>
            <w:tcBorders>
              <w:top w:val="single" w:sz="4" w:space="0" w:color="auto"/>
              <w:bottom w:val="single" w:sz="4" w:space="0" w:color="auto"/>
            </w:tcBorders>
            <w:shd w:val="clear" w:color="auto" w:fill="auto"/>
            <w:noWrap/>
            <w:vAlign w:val="bottom"/>
            <w:hideMark/>
          </w:tcPr>
          <w:p w14:paraId="53599FDE"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11</w:t>
            </w:r>
          </w:p>
        </w:tc>
        <w:tc>
          <w:tcPr>
            <w:tcW w:w="1417" w:type="dxa"/>
            <w:tcBorders>
              <w:top w:val="single" w:sz="4" w:space="0" w:color="auto"/>
              <w:bottom w:val="single" w:sz="4" w:space="0" w:color="auto"/>
            </w:tcBorders>
            <w:shd w:val="clear" w:color="auto" w:fill="auto"/>
            <w:noWrap/>
            <w:vAlign w:val="bottom"/>
            <w:hideMark/>
          </w:tcPr>
          <w:p w14:paraId="3056DA42"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1,83</w:t>
            </w:r>
          </w:p>
        </w:tc>
      </w:tr>
      <w:tr w:rsidR="00F43C5C" w:rsidRPr="002E5394" w14:paraId="7C564FFF"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0A3E6682"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5.000 e 10.000</w:t>
            </w:r>
          </w:p>
        </w:tc>
        <w:tc>
          <w:tcPr>
            <w:tcW w:w="1559" w:type="dxa"/>
            <w:tcBorders>
              <w:top w:val="single" w:sz="4" w:space="0" w:color="auto"/>
              <w:bottom w:val="single" w:sz="4" w:space="0" w:color="auto"/>
            </w:tcBorders>
            <w:shd w:val="clear" w:color="auto" w:fill="auto"/>
            <w:noWrap/>
            <w:vAlign w:val="bottom"/>
            <w:hideMark/>
          </w:tcPr>
          <w:p w14:paraId="16EF446C"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7</w:t>
            </w:r>
          </w:p>
        </w:tc>
        <w:tc>
          <w:tcPr>
            <w:tcW w:w="1560" w:type="dxa"/>
            <w:tcBorders>
              <w:top w:val="single" w:sz="4" w:space="0" w:color="auto"/>
              <w:bottom w:val="single" w:sz="4" w:space="0" w:color="auto"/>
            </w:tcBorders>
            <w:shd w:val="clear" w:color="auto" w:fill="auto"/>
            <w:noWrap/>
            <w:vAlign w:val="bottom"/>
            <w:hideMark/>
          </w:tcPr>
          <w:p w14:paraId="7420A9BD"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19</w:t>
            </w:r>
          </w:p>
        </w:tc>
        <w:tc>
          <w:tcPr>
            <w:tcW w:w="1417" w:type="dxa"/>
            <w:tcBorders>
              <w:top w:val="single" w:sz="4" w:space="0" w:color="auto"/>
              <w:bottom w:val="single" w:sz="4" w:space="0" w:color="auto"/>
            </w:tcBorders>
            <w:shd w:val="clear" w:color="auto" w:fill="auto"/>
            <w:noWrap/>
            <w:vAlign w:val="bottom"/>
            <w:hideMark/>
          </w:tcPr>
          <w:p w14:paraId="241CB4F1"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2,71</w:t>
            </w:r>
          </w:p>
        </w:tc>
      </w:tr>
      <w:tr w:rsidR="00F43C5C" w:rsidRPr="002E5394" w14:paraId="7044E735" w14:textId="77777777" w:rsidTr="00E06443">
        <w:trPr>
          <w:trHeight w:val="240"/>
          <w:jc w:val="center"/>
        </w:trPr>
        <w:tc>
          <w:tcPr>
            <w:tcW w:w="1838" w:type="dxa"/>
            <w:tcBorders>
              <w:top w:val="single" w:sz="4" w:space="0" w:color="auto"/>
              <w:bottom w:val="single" w:sz="4" w:space="0" w:color="auto"/>
            </w:tcBorders>
            <w:shd w:val="clear" w:color="auto" w:fill="auto"/>
            <w:noWrap/>
            <w:vAlign w:val="bottom"/>
            <w:hideMark/>
          </w:tcPr>
          <w:p w14:paraId="1647F0A9"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&gt; 10.000</w:t>
            </w:r>
          </w:p>
        </w:tc>
        <w:tc>
          <w:tcPr>
            <w:tcW w:w="1559" w:type="dxa"/>
            <w:tcBorders>
              <w:top w:val="single" w:sz="4" w:space="0" w:color="auto"/>
              <w:bottom w:val="single" w:sz="4" w:space="0" w:color="auto"/>
            </w:tcBorders>
            <w:shd w:val="clear" w:color="auto" w:fill="auto"/>
            <w:noWrap/>
            <w:vAlign w:val="bottom"/>
            <w:hideMark/>
          </w:tcPr>
          <w:p w14:paraId="60E84328"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8</w:t>
            </w:r>
          </w:p>
        </w:tc>
        <w:tc>
          <w:tcPr>
            <w:tcW w:w="1560" w:type="dxa"/>
            <w:tcBorders>
              <w:top w:val="single" w:sz="4" w:space="0" w:color="auto"/>
              <w:bottom w:val="single" w:sz="4" w:space="0" w:color="auto"/>
            </w:tcBorders>
            <w:shd w:val="clear" w:color="auto" w:fill="auto"/>
            <w:noWrap/>
            <w:vAlign w:val="bottom"/>
            <w:hideMark/>
          </w:tcPr>
          <w:p w14:paraId="49654579"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20</w:t>
            </w:r>
          </w:p>
        </w:tc>
        <w:tc>
          <w:tcPr>
            <w:tcW w:w="1417" w:type="dxa"/>
            <w:tcBorders>
              <w:top w:val="single" w:sz="4" w:space="0" w:color="auto"/>
              <w:bottom w:val="single" w:sz="4" w:space="0" w:color="auto"/>
            </w:tcBorders>
            <w:shd w:val="clear" w:color="auto" w:fill="auto"/>
            <w:noWrap/>
            <w:vAlign w:val="bottom"/>
            <w:hideMark/>
          </w:tcPr>
          <w:p w14:paraId="4D271B08"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r w:rsidRPr="002E5394">
              <w:rPr>
                <w:rFonts w:ascii="Times New Roman" w:eastAsia="Times New Roman" w:hAnsi="Times New Roman" w:cs="Times New Roman"/>
                <w:color w:val="000000"/>
                <w:sz w:val="18"/>
                <w:szCs w:val="18"/>
                <w:lang w:eastAsia="pt-BR"/>
              </w:rPr>
              <w:t>2,50</w:t>
            </w:r>
          </w:p>
        </w:tc>
      </w:tr>
      <w:tr w:rsidR="00F43C5C" w:rsidRPr="002E5394" w14:paraId="01B7F5B9" w14:textId="77777777" w:rsidTr="00E06443">
        <w:trPr>
          <w:trHeight w:val="240"/>
          <w:jc w:val="center"/>
        </w:trPr>
        <w:tc>
          <w:tcPr>
            <w:tcW w:w="1838" w:type="dxa"/>
            <w:tcBorders>
              <w:top w:val="single" w:sz="4" w:space="0" w:color="auto"/>
              <w:left w:val="nil"/>
              <w:bottom w:val="nil"/>
            </w:tcBorders>
            <w:shd w:val="clear" w:color="auto" w:fill="auto"/>
            <w:noWrap/>
            <w:vAlign w:val="bottom"/>
            <w:hideMark/>
          </w:tcPr>
          <w:p w14:paraId="1E66CC46" w14:textId="77777777" w:rsidR="00F43C5C" w:rsidRPr="002E5394" w:rsidRDefault="00F43C5C" w:rsidP="002E5394">
            <w:pPr>
              <w:spacing w:after="120" w:line="240" w:lineRule="auto"/>
              <w:jc w:val="center"/>
              <w:rPr>
                <w:rFonts w:ascii="Times New Roman" w:eastAsia="Times New Roman" w:hAnsi="Times New Roman" w:cs="Times New Roman"/>
                <w:color w:val="000000"/>
                <w:sz w:val="18"/>
                <w:szCs w:val="18"/>
                <w:lang w:eastAsia="pt-BR"/>
              </w:rPr>
            </w:pPr>
          </w:p>
        </w:tc>
        <w:tc>
          <w:tcPr>
            <w:tcW w:w="1559" w:type="dxa"/>
            <w:tcBorders>
              <w:top w:val="single" w:sz="4" w:space="0" w:color="auto"/>
              <w:bottom w:val="single" w:sz="4" w:space="0" w:color="auto"/>
            </w:tcBorders>
            <w:shd w:val="clear" w:color="auto" w:fill="auto"/>
            <w:noWrap/>
            <w:vAlign w:val="bottom"/>
            <w:hideMark/>
          </w:tcPr>
          <w:p w14:paraId="68B7622F" w14:textId="77777777" w:rsidR="00F43C5C" w:rsidRPr="002E5394" w:rsidRDefault="00F43C5C" w:rsidP="002E5394">
            <w:pPr>
              <w:spacing w:after="120" w:line="240" w:lineRule="auto"/>
              <w:jc w:val="center"/>
              <w:rPr>
                <w:rFonts w:ascii="Times New Roman" w:eastAsia="Times New Roman" w:hAnsi="Times New Roman" w:cs="Times New Roman"/>
                <w:b/>
                <w:bCs/>
                <w:color w:val="000000"/>
                <w:sz w:val="18"/>
                <w:szCs w:val="18"/>
                <w:lang w:eastAsia="pt-BR"/>
              </w:rPr>
            </w:pPr>
            <w:r w:rsidRPr="002E5394">
              <w:rPr>
                <w:rFonts w:ascii="Times New Roman" w:eastAsia="Times New Roman" w:hAnsi="Times New Roman" w:cs="Times New Roman"/>
                <w:b/>
                <w:bCs/>
                <w:color w:val="000000"/>
                <w:sz w:val="18"/>
                <w:szCs w:val="18"/>
                <w:lang w:eastAsia="pt-BR"/>
              </w:rPr>
              <w:t>49</w:t>
            </w:r>
          </w:p>
        </w:tc>
        <w:tc>
          <w:tcPr>
            <w:tcW w:w="1560" w:type="dxa"/>
            <w:tcBorders>
              <w:top w:val="single" w:sz="4" w:space="0" w:color="auto"/>
              <w:bottom w:val="single" w:sz="4" w:space="0" w:color="auto"/>
            </w:tcBorders>
            <w:shd w:val="clear" w:color="auto" w:fill="auto"/>
            <w:noWrap/>
            <w:vAlign w:val="bottom"/>
            <w:hideMark/>
          </w:tcPr>
          <w:p w14:paraId="5E3E8D39" w14:textId="77777777" w:rsidR="00F43C5C" w:rsidRPr="002E5394" w:rsidRDefault="00F43C5C" w:rsidP="002E5394">
            <w:pPr>
              <w:spacing w:after="120" w:line="240" w:lineRule="auto"/>
              <w:jc w:val="center"/>
              <w:rPr>
                <w:rFonts w:ascii="Times New Roman" w:eastAsia="Times New Roman" w:hAnsi="Times New Roman" w:cs="Times New Roman"/>
                <w:b/>
                <w:bCs/>
                <w:color w:val="000000"/>
                <w:sz w:val="18"/>
                <w:szCs w:val="18"/>
                <w:lang w:eastAsia="pt-BR"/>
              </w:rPr>
            </w:pPr>
            <w:r w:rsidRPr="002E5394">
              <w:rPr>
                <w:rFonts w:ascii="Times New Roman" w:eastAsia="Times New Roman" w:hAnsi="Times New Roman" w:cs="Times New Roman"/>
                <w:b/>
                <w:bCs/>
                <w:color w:val="000000"/>
                <w:sz w:val="18"/>
                <w:szCs w:val="18"/>
                <w:lang w:eastAsia="pt-BR"/>
              </w:rPr>
              <w:t>92</w:t>
            </w:r>
          </w:p>
        </w:tc>
        <w:tc>
          <w:tcPr>
            <w:tcW w:w="1417" w:type="dxa"/>
            <w:tcBorders>
              <w:top w:val="single" w:sz="4" w:space="0" w:color="auto"/>
              <w:bottom w:val="single" w:sz="4" w:space="0" w:color="auto"/>
            </w:tcBorders>
            <w:shd w:val="clear" w:color="auto" w:fill="auto"/>
            <w:noWrap/>
            <w:vAlign w:val="bottom"/>
            <w:hideMark/>
          </w:tcPr>
          <w:p w14:paraId="20BCAFFB" w14:textId="77777777" w:rsidR="00F43C5C" w:rsidRPr="002E5394" w:rsidRDefault="00F43C5C" w:rsidP="002E5394">
            <w:pPr>
              <w:spacing w:after="120" w:line="240" w:lineRule="auto"/>
              <w:jc w:val="center"/>
              <w:rPr>
                <w:rFonts w:ascii="Times New Roman" w:eastAsia="Times New Roman" w:hAnsi="Times New Roman" w:cs="Times New Roman"/>
                <w:b/>
                <w:bCs/>
                <w:color w:val="000000"/>
                <w:sz w:val="18"/>
                <w:szCs w:val="18"/>
                <w:lang w:eastAsia="pt-BR"/>
              </w:rPr>
            </w:pPr>
            <w:r w:rsidRPr="002E5394">
              <w:rPr>
                <w:rFonts w:ascii="Times New Roman" w:eastAsia="Times New Roman" w:hAnsi="Times New Roman" w:cs="Times New Roman"/>
                <w:b/>
                <w:bCs/>
                <w:color w:val="000000"/>
                <w:sz w:val="18"/>
                <w:szCs w:val="18"/>
                <w:lang w:eastAsia="pt-BR"/>
              </w:rPr>
              <w:t>1,88</w:t>
            </w:r>
          </w:p>
        </w:tc>
      </w:tr>
    </w:tbl>
    <w:p w14:paraId="095A5CE7" w14:textId="77777777" w:rsidR="002E5394" w:rsidRPr="002E5394" w:rsidRDefault="002E5394" w:rsidP="002E5394">
      <w:pPr>
        <w:spacing w:after="120" w:line="240" w:lineRule="auto"/>
        <w:jc w:val="both"/>
        <w:rPr>
          <w:rFonts w:ascii="Times New Roman" w:hAnsi="Times New Roman" w:cs="Times New Roman"/>
          <w:sz w:val="24"/>
          <w:szCs w:val="24"/>
        </w:rPr>
      </w:pPr>
    </w:p>
    <w:p w14:paraId="6AAAC137"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Analisando os dados, é possível dizer que as mudanças na ARH não estão propriamente concentradas em um determinado segmento; contudo, há áreas onde essas mudanças foram mais intensas que em outras. Já com relação ao porte, não houve concentração em um determinado porte. Observou-se um pequeno aumento da incidência de mudanças nas empresas de pequeno porte, que se concentrou nas empresas de tecnologia e computação. Há também um pequeno aumento nas empresas de grande porte a partir de 5.000 empregados, em setores de atuação diversificada, o que, pelo menos na presente pesquisa, contraria a hipótese de que as mudanças seriam menos frequentes nas empresas maiores.</w:t>
      </w:r>
    </w:p>
    <w:p w14:paraId="33C34DC3"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Procurou-se identificar se houveram fatores, por exemplo de caráter normativo, que explicassem a intensidade maior de mudanças nos segmentos automotivo ou de energia. Contudo, não foram encontradas especificidades nestes segmentos, dentro dos dados consultados. Também buscou-se identificar se haviam inovações impulsionando mudanças nesses mercados, como por exemplo, implantação de novas tecnologias de gestão ou no próprio oferecimento dos produtos e serviços, mas não foram identificados no conjunto de dados pesquisados. Uma lacuna da presente pesquisa, que pode ser explorada em trabalhos futuros.</w:t>
      </w:r>
    </w:p>
    <w:p w14:paraId="668B06E2"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As mudanças identificadas foram classificadas conforme sua natureza e abrangência: as estratégicas, relacionadas a direcionamentos mais amplos e do alinhamento da ARH com a estratégia organizacional; as de natureza mais tática, buscando a operacionalização da estratégica por meio de conjuntos de regras; as políticas e, finalmente, as mudanças de práticas que estão relacionadas a execução, ou seja, a operacionalização das ações da ARH. Do conjunto das 92 mudanças na ARH estudadas, metade (50%) se relacionava a mudanças de práticas, 25% de políticas e os demais 25% eram mudanças de natureza estratégica da ARH. </w:t>
      </w:r>
    </w:p>
    <w:p w14:paraId="7E93EC28"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Das 23 mudanças de natureza estratégica, diziam respeito a mudanças da estrutura ou do redesenho da ARH na organização, mudanças de natureza cultural, relacionadas ao planejamento estratégico ou questões relacionadas a sustentabilidade. Das 23 mudanças de natureza tática, relacionadas a modificações de políticas, encontraram-se as referentes à política de remuneração e participação nos resultados, política de sucessão, avaliação de performance, avaliação da liderança, código de Ética, forma de diagnóstico e organização de treinamentos, diversidade de gênero, gestão de projetos em RH, gestão por competências, política de utilização das mídias sociais, política de auditoria interna, política de desenvolvimento, política de </w:t>
      </w:r>
      <w:proofErr w:type="spellStart"/>
      <w:r w:rsidRPr="002E5394">
        <w:rPr>
          <w:rFonts w:ascii="Times New Roman" w:hAnsi="Times New Roman" w:cs="Times New Roman"/>
          <w:i/>
          <w:sz w:val="24"/>
          <w:szCs w:val="24"/>
        </w:rPr>
        <w:t>employer</w:t>
      </w:r>
      <w:proofErr w:type="spellEnd"/>
      <w:r w:rsidRPr="002E5394">
        <w:rPr>
          <w:rFonts w:ascii="Times New Roman" w:hAnsi="Times New Roman" w:cs="Times New Roman"/>
          <w:i/>
          <w:sz w:val="24"/>
          <w:szCs w:val="24"/>
        </w:rPr>
        <w:t xml:space="preserve"> branding</w:t>
      </w:r>
      <w:r w:rsidRPr="002E5394">
        <w:rPr>
          <w:rFonts w:ascii="Times New Roman" w:hAnsi="Times New Roman" w:cs="Times New Roman"/>
          <w:sz w:val="24"/>
          <w:szCs w:val="24"/>
        </w:rPr>
        <w:t xml:space="preserve">, política de indicações de novos empregados, política de reconhecimento e recompensa e procedimentos de comunicação interna. Finalmente, das 46 mudanças relacionadas à execução, os registros de mudanças de práticas relacionavam-se a mudanças das mais diversas: atendimento clínico na empresa, avaliação de performance, benefícios, </w:t>
      </w:r>
      <w:r w:rsidRPr="002E5394">
        <w:rPr>
          <w:rFonts w:ascii="Times New Roman" w:hAnsi="Times New Roman" w:cs="Times New Roman"/>
          <w:sz w:val="24"/>
          <w:szCs w:val="24"/>
        </w:rPr>
        <w:lastRenderedPageBreak/>
        <w:t xml:space="preserve">biblioteca itinerante, </w:t>
      </w:r>
      <w:proofErr w:type="spellStart"/>
      <w:r w:rsidRPr="002E5394">
        <w:rPr>
          <w:rFonts w:ascii="Times New Roman" w:hAnsi="Times New Roman" w:cs="Times New Roman"/>
          <w:sz w:val="24"/>
          <w:szCs w:val="24"/>
        </w:rPr>
        <w:t>call</w:t>
      </w:r>
      <w:proofErr w:type="spellEnd"/>
      <w:r w:rsidRPr="002E5394">
        <w:rPr>
          <w:rFonts w:ascii="Times New Roman" w:hAnsi="Times New Roman" w:cs="Times New Roman"/>
          <w:sz w:val="24"/>
          <w:szCs w:val="24"/>
        </w:rPr>
        <w:t xml:space="preserve"> center de RH, campanha de redução de energia, forma de avaliar competências para liderança, introdução de construção coletiva do planejamento estratégico, consultoria em RH, desenvolvimento para lideranças e equipes, diálogo entre líderes, feedback em recrutamento interno, fim do banco de horas, ginástica laboral, indicadores de desempenho, integração de novos empregados, integração online, mapeamento de sucessores, nova ferramenta de feedback, recrutamento e recepção de novos talentos, oficinas de qualidade de vida no trabalho, pesquisa de clima, pesquisa de engajamento, práticas de sustentabilidade, premiação por performance, admissão e promoção, quadro de aviso digital, reeducação alimentar, reavaliação dos cargos, recrutamento Interno, reembolso de assistência médica, reuniões com empregados, saúde do trabalho, semana da diversidade, sistemas de ARH, treinamento, workshop comportamental e centro de expertise em RH para pesquisa. </w:t>
      </w:r>
    </w:p>
    <w:p w14:paraId="0BD7B57E" w14:textId="77777777" w:rsidR="00F43C5C" w:rsidRPr="002E5394" w:rsidRDefault="00F43C5C" w:rsidP="002E5394">
      <w:pPr>
        <w:spacing w:after="120" w:line="240" w:lineRule="auto"/>
        <w:jc w:val="both"/>
        <w:rPr>
          <w:rFonts w:ascii="Times New Roman" w:hAnsi="Times New Roman" w:cs="Times New Roman"/>
          <w:b/>
          <w:sz w:val="24"/>
          <w:szCs w:val="24"/>
        </w:rPr>
      </w:pPr>
      <w:r w:rsidRPr="002E5394">
        <w:rPr>
          <w:rFonts w:ascii="Times New Roman" w:hAnsi="Times New Roman" w:cs="Times New Roman"/>
          <w:b/>
          <w:sz w:val="24"/>
          <w:szCs w:val="24"/>
        </w:rPr>
        <w:t>5.1. Mudanças identificadas</w:t>
      </w:r>
    </w:p>
    <w:p w14:paraId="6D5A5918" w14:textId="77777777" w:rsidR="00C01C6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Como resultante da análise de dados, mais ou menos intensas, mudanças foram identificadas, a seguir:</w:t>
      </w:r>
    </w:p>
    <w:p w14:paraId="3E18E202" w14:textId="77777777" w:rsidR="00F43C5C" w:rsidRPr="002E5394" w:rsidRDefault="00F43C5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A. Um achado evidenciado na análise desse conteúdo é que as organizações estão passando por mudanças estratégicas recentes. 8% das organizações reportaram alguma mudança desta natureza (organizações 26, 27, 37, 40, 51, 63, 66, 75, 79, 107, 110 e 147) e duas reportaram um redesenho completo da área (as empresas números 16 e 87).</w:t>
      </w:r>
    </w:p>
    <w:p w14:paraId="5BA33CF8" w14:textId="77777777" w:rsidR="00F43C5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B. Ações de marketing voltadas aos empregados, também referenciado como endomarketing ou marketing interno, já são assuntos presentes na literatura há algum tempo e vêm se materializando nas organizações, principalmente em ações de comunicação interna, que buscam o alinhamento do comportamento do empregado aos valores organizacionais e propagando a sinergia nos relacionamentos interpessoais.</w:t>
      </w:r>
    </w:p>
    <w:p w14:paraId="2066D28F" w14:textId="77777777" w:rsidR="00C01C6C" w:rsidRPr="002E5394" w:rsidRDefault="00C01C6C" w:rsidP="002E5394">
      <w:pPr>
        <w:spacing w:after="120" w:line="240" w:lineRule="auto"/>
        <w:jc w:val="both"/>
        <w:rPr>
          <w:rFonts w:ascii="Times New Roman" w:hAnsi="Times New Roman" w:cs="Times New Roman"/>
          <w:iCs/>
          <w:sz w:val="24"/>
          <w:szCs w:val="24"/>
        </w:rPr>
      </w:pPr>
      <w:r w:rsidRPr="002E5394">
        <w:rPr>
          <w:rFonts w:ascii="Times New Roman" w:hAnsi="Times New Roman" w:cs="Times New Roman"/>
          <w:sz w:val="24"/>
          <w:szCs w:val="24"/>
        </w:rPr>
        <w:t xml:space="preserve">C. </w:t>
      </w:r>
      <w:r w:rsidRPr="002E5394">
        <w:rPr>
          <w:rFonts w:ascii="Times New Roman" w:hAnsi="Times New Roman" w:cs="Times New Roman"/>
          <w:i/>
          <w:iCs/>
          <w:sz w:val="24"/>
          <w:szCs w:val="24"/>
        </w:rPr>
        <w:t>Branding</w:t>
      </w:r>
      <w:r w:rsidRPr="002E5394">
        <w:rPr>
          <w:rFonts w:ascii="Times New Roman" w:hAnsi="Times New Roman" w:cs="Times New Roman"/>
          <w:iCs/>
          <w:sz w:val="24"/>
          <w:szCs w:val="24"/>
        </w:rPr>
        <w:t xml:space="preserve"> (marca) do empregador, ou </w:t>
      </w:r>
      <w:proofErr w:type="spellStart"/>
      <w:r w:rsidRPr="002E5394">
        <w:rPr>
          <w:rFonts w:ascii="Times New Roman" w:hAnsi="Times New Roman" w:cs="Times New Roman"/>
          <w:i/>
          <w:iCs/>
          <w:sz w:val="24"/>
          <w:szCs w:val="24"/>
        </w:rPr>
        <w:t>employer</w:t>
      </w:r>
      <w:proofErr w:type="spellEnd"/>
      <w:r w:rsidRPr="002E5394">
        <w:rPr>
          <w:rFonts w:ascii="Times New Roman" w:hAnsi="Times New Roman" w:cs="Times New Roman"/>
          <w:i/>
          <w:iCs/>
          <w:sz w:val="24"/>
          <w:szCs w:val="24"/>
        </w:rPr>
        <w:t xml:space="preserve"> branding</w:t>
      </w:r>
      <w:r w:rsidRPr="002E5394">
        <w:rPr>
          <w:rFonts w:ascii="Times New Roman" w:hAnsi="Times New Roman" w:cs="Times New Roman"/>
          <w:iCs/>
          <w:sz w:val="24"/>
          <w:szCs w:val="24"/>
        </w:rPr>
        <w:t xml:space="preserve">, é um termo que diz respeito à tentativa da organização de estabelecer uma reputação como um bom local de trabalho, principalmente, alinhando o recrutamento e as práticas externas de RH com a “marca”, reputação de identidade que a organização tem ou quer ter </w:t>
      </w:r>
      <w:r w:rsidRPr="002E5394">
        <w:rPr>
          <w:rFonts w:ascii="Times New Roman" w:hAnsi="Times New Roman" w:cs="Times New Roman"/>
          <w:iCs/>
          <w:sz w:val="24"/>
          <w:szCs w:val="24"/>
        </w:rPr>
        <w:fldChar w:fldCharType="begin" w:fldLock="1"/>
      </w:r>
      <w:r w:rsidRPr="002E5394">
        <w:rPr>
          <w:rFonts w:ascii="Times New Roman" w:hAnsi="Times New Roman" w:cs="Times New Roman"/>
          <w:iCs/>
          <w:sz w:val="24"/>
          <w:szCs w:val="24"/>
        </w:rPr>
        <w:instrText>ADDIN CSL_CITATION { "citationItems" : [ { "id" : "ITEM-1", "itemData" : { "author" : [ { "dropping-particle" : "", "family" : "Scullion", "given" : "H", "non-dropping-particle" : "", "parse-names" : false, "suffix" : "" }, { "dropping-particle" : "", "family" : "Collings", "given" : "DG", "non-dropping-particle" : "", "parse-names" : false, "suffix" : "" } ], "container-title" : "Resource Management", "id" : "ITEM-1", "issue" : "4", "issued" : { "date-parts" : [ [ "2007" ] ] }, "page" : "309-319", "title" : "International human resource management in the 21st century: emerging themes and contemporary debates", "type" : "article-journal", "volume" : "17" }, "uris" : [ "http://www.mendeley.com/documents/?uuid=e593b05c-d0ab-4f9a-91d6-b08e277f3a3b" ] } ], "mendeley" : { "formattedCitation" : "(SCULLION; COLLINGS, 2007)", "plainTextFormattedCitation" : "(SCULLION; COLLINGS, 2007)", "previouslyFormattedCitation" : "(SCULLION; COLLINGS, 2007)" }, "properties" : { "noteIndex" : 0 }, "schema" : "https://github.com/citation-style-language/schema/raw/master/csl-citation.json" }</w:instrText>
      </w:r>
      <w:r w:rsidRPr="002E5394">
        <w:rPr>
          <w:rFonts w:ascii="Times New Roman" w:hAnsi="Times New Roman" w:cs="Times New Roman"/>
          <w:iCs/>
          <w:sz w:val="24"/>
          <w:szCs w:val="24"/>
        </w:rPr>
        <w:fldChar w:fldCharType="separate"/>
      </w:r>
      <w:r w:rsidRPr="002E5394">
        <w:rPr>
          <w:rFonts w:ascii="Times New Roman" w:hAnsi="Times New Roman" w:cs="Times New Roman"/>
          <w:iCs/>
          <w:noProof/>
          <w:sz w:val="24"/>
          <w:szCs w:val="24"/>
        </w:rPr>
        <w:t>(SCULLION; COLLINGS, 2007)</w:t>
      </w:r>
      <w:r w:rsidRPr="002E5394">
        <w:rPr>
          <w:rFonts w:ascii="Times New Roman" w:hAnsi="Times New Roman" w:cs="Times New Roman"/>
          <w:iCs/>
          <w:sz w:val="24"/>
          <w:szCs w:val="24"/>
        </w:rPr>
        <w:fldChar w:fldCharType="end"/>
      </w:r>
      <w:r w:rsidRPr="002E5394">
        <w:rPr>
          <w:rFonts w:ascii="Times New Roman" w:hAnsi="Times New Roman" w:cs="Times New Roman"/>
          <w:iCs/>
          <w:sz w:val="24"/>
          <w:szCs w:val="24"/>
        </w:rPr>
        <w:t xml:space="preserve">. A totalidade das organizações estudadas afirmou ter ações de </w:t>
      </w:r>
      <w:proofErr w:type="spellStart"/>
      <w:r w:rsidRPr="002E5394">
        <w:rPr>
          <w:rFonts w:ascii="Times New Roman" w:hAnsi="Times New Roman" w:cs="Times New Roman"/>
          <w:i/>
          <w:iCs/>
          <w:sz w:val="24"/>
          <w:szCs w:val="24"/>
        </w:rPr>
        <w:t>employer</w:t>
      </w:r>
      <w:proofErr w:type="spellEnd"/>
      <w:r w:rsidRPr="002E5394">
        <w:rPr>
          <w:rFonts w:ascii="Times New Roman" w:hAnsi="Times New Roman" w:cs="Times New Roman"/>
          <w:i/>
          <w:iCs/>
          <w:sz w:val="24"/>
          <w:szCs w:val="24"/>
        </w:rPr>
        <w:t xml:space="preserve"> branding</w:t>
      </w:r>
      <w:r w:rsidRPr="002E5394">
        <w:rPr>
          <w:rFonts w:ascii="Times New Roman" w:hAnsi="Times New Roman" w:cs="Times New Roman"/>
          <w:iCs/>
          <w:sz w:val="24"/>
          <w:szCs w:val="24"/>
        </w:rPr>
        <w:t xml:space="preserve"> em curso, grande parte reportando ser uma mudança recente. Trata-se de uma peculiaridade da amostra, na medida em que os dados colhidos pela MEPT são utilizados por uma revista de circulação nacional que destaca justamente “Melhores Empresas para se trabalhar”, cujo destaque, certamente, coopera para o </w:t>
      </w:r>
      <w:proofErr w:type="spellStart"/>
      <w:r w:rsidRPr="002E5394">
        <w:rPr>
          <w:rFonts w:ascii="Times New Roman" w:hAnsi="Times New Roman" w:cs="Times New Roman"/>
          <w:i/>
          <w:iCs/>
          <w:sz w:val="24"/>
          <w:szCs w:val="24"/>
        </w:rPr>
        <w:t>employer</w:t>
      </w:r>
      <w:proofErr w:type="spellEnd"/>
      <w:r w:rsidRPr="002E5394">
        <w:rPr>
          <w:rFonts w:ascii="Times New Roman" w:hAnsi="Times New Roman" w:cs="Times New Roman"/>
          <w:i/>
          <w:iCs/>
          <w:sz w:val="24"/>
          <w:szCs w:val="24"/>
        </w:rPr>
        <w:t xml:space="preserve"> branding </w:t>
      </w:r>
      <w:r w:rsidRPr="002E5394">
        <w:rPr>
          <w:rFonts w:ascii="Times New Roman" w:hAnsi="Times New Roman" w:cs="Times New Roman"/>
          <w:iCs/>
          <w:sz w:val="24"/>
          <w:szCs w:val="24"/>
        </w:rPr>
        <w:t>da empresa selecionada.</w:t>
      </w:r>
    </w:p>
    <w:p w14:paraId="23A870F9" w14:textId="77777777" w:rsidR="00C01C6C" w:rsidRPr="002E5394" w:rsidRDefault="00C01C6C" w:rsidP="002E5394">
      <w:pPr>
        <w:spacing w:after="120" w:line="240" w:lineRule="auto"/>
        <w:jc w:val="both"/>
        <w:rPr>
          <w:rFonts w:ascii="Times New Roman" w:hAnsi="Times New Roman" w:cs="Times New Roman"/>
          <w:iCs/>
          <w:sz w:val="24"/>
          <w:szCs w:val="24"/>
        </w:rPr>
      </w:pPr>
      <w:r w:rsidRPr="002E5394">
        <w:rPr>
          <w:rFonts w:ascii="Times New Roman" w:hAnsi="Times New Roman" w:cs="Times New Roman"/>
          <w:iCs/>
          <w:sz w:val="24"/>
          <w:szCs w:val="24"/>
        </w:rPr>
        <w:t>D. Duas das organizações estudadas (2 e 6) apresentaram a questão da sustentabilidade como uma mudança de natureza estratégica em suas ARH, buscando fortalecer a responsabilidade social de suas organizações. A análise dos documentos das organizações pesquisadas revelou, contudo, que 96% das empresas têm ações de responsabilidade direta do RH para o estreitamento do relacionamento com as comunidades do entorno das localidades onde essas organizações mantêm presença, incluindo ações de conservação ambiental.</w:t>
      </w:r>
    </w:p>
    <w:p w14:paraId="1002BCB4" w14:textId="77777777" w:rsidR="00C01C6C" w:rsidRPr="002E5394" w:rsidRDefault="00C01C6C" w:rsidP="002E5394">
      <w:pPr>
        <w:spacing w:after="120" w:line="240" w:lineRule="auto"/>
        <w:jc w:val="both"/>
        <w:rPr>
          <w:rFonts w:ascii="Times New Roman" w:hAnsi="Times New Roman" w:cs="Times New Roman"/>
          <w:iCs/>
          <w:sz w:val="24"/>
          <w:szCs w:val="24"/>
        </w:rPr>
      </w:pPr>
      <w:r w:rsidRPr="002E5394">
        <w:rPr>
          <w:rFonts w:ascii="Times New Roman" w:hAnsi="Times New Roman" w:cs="Times New Roman"/>
          <w:iCs/>
          <w:sz w:val="24"/>
          <w:szCs w:val="24"/>
        </w:rPr>
        <w:t xml:space="preserve">E. </w:t>
      </w:r>
      <w:r w:rsidRPr="002E5394">
        <w:rPr>
          <w:rFonts w:ascii="Times New Roman" w:hAnsi="Times New Roman" w:cs="Times New Roman"/>
          <w:sz w:val="24"/>
          <w:szCs w:val="24"/>
        </w:rPr>
        <w:t xml:space="preserve">Embora não houvesse perguntas especificas quanto a práticas inovadoras na base de dados estudada, verificou-se 86% das organizações pesquisadas declararam ter algum compromisso com a inovação. Dentre as mudanças identificadas pela pesquisa, muitas empresas as declararam como inovações. Contudo, observou-se, na análise dos documentos, que a maioria das ações é limitada, ora em abrangência, por exemplo envolvendo áreas como tecnologia, produção ou desenvolvimento de produtos, ora por hierarquia, voltada apenas para as lideranças, ora por falta de continuidade, limitando-se a programas de sugestões pontuais, consultorias e palestras. Em apenas 10% das organizações, há algum programa especificamente </w:t>
      </w:r>
      <w:r w:rsidRPr="002E5394">
        <w:rPr>
          <w:rFonts w:ascii="Times New Roman" w:hAnsi="Times New Roman" w:cs="Times New Roman"/>
          <w:sz w:val="24"/>
          <w:szCs w:val="24"/>
        </w:rPr>
        <w:lastRenderedPageBreak/>
        <w:t>voltado ao estímulo da inovação de forma permanente e universal, sendo que a organização e condução desses programas está sob a égide da ARH</w:t>
      </w:r>
    </w:p>
    <w:p w14:paraId="540DFA5D" w14:textId="77777777" w:rsidR="00C01C6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F. </w:t>
      </w:r>
      <w:proofErr w:type="spellStart"/>
      <w:r w:rsidRPr="002E5394">
        <w:rPr>
          <w:rFonts w:ascii="Times New Roman" w:hAnsi="Times New Roman" w:cs="Times New Roman"/>
          <w:i/>
          <w:sz w:val="24"/>
          <w:szCs w:val="24"/>
        </w:rPr>
        <w:t>Gamification</w:t>
      </w:r>
      <w:proofErr w:type="spellEnd"/>
      <w:r w:rsidRPr="002E5394">
        <w:rPr>
          <w:rFonts w:ascii="Times New Roman" w:hAnsi="Times New Roman" w:cs="Times New Roman"/>
          <w:sz w:val="24"/>
          <w:szCs w:val="24"/>
        </w:rPr>
        <w:t xml:space="preserve"> é um termo em inglês que se refere ao uso de elementos, mecânica e estética de jogos em contextos diferentes do entretenimento. A “gamificação” corresponde ao uso desses mecanismos de jogos com o objetivo de resolver problemas práticos, motivar para a ação, promover a aprendizagem ou para despertar engajamento entre um público específico </w:t>
      </w: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ADDIN CSL_CITATION { "citationItems" : [ { "id" : "ITEM-1", "itemData" : { "author" : [ { "dropping-particle" : "", "family" : "Kapp", "given" : "Karl M.", "non-dropping-particle" : "", "parse-names" : false, "suffix" : "" } ], "id" : "ITEM-1", "issued" : { "date-parts" : [ [ "2002" ] ] }, "number-of-pages" : "302", "publisher" : "Pfeiffer &amp; Company", "publisher-place" : "San Francisco", "title" : "The Gamification of Learning and Instruction: Game-Based Methods and Strategies for Training and Education", "type" : "book" }, "uris" : [ "http://www.mendeley.com/documents/?uuid=ef72c40e-8567-4398-bdca-32fd5aa9911a" ] }, { "id" : "ITEM-2", "itemData" : { "author" : [ { "dropping-particle" : "", "family" : "Burke", "given" : "Brian", "non-dropping-particle" : "", "parse-names" : false, "suffix" : "" } ], "id" : "ITEM-2", "issued" : { "date-parts" : [ [ "2014" ] ] }, "number-of-pages" : "181", "publisher" : "Bibliomotion", "publisher-place" : "New York", "title" : "Gamify: How Gamification Motivates People to Do Extraordinary Things", "type" : "book" }, "uris" : [ "http://www.mendeley.com/documents/?uuid=5f5bf98d-18b1-45f1-893c-609c8a01fc58" ] } ], "mendeley" : { "formattedCitation" : "(BURKE, 2014; KAPP, 2002)", "plainTextFormattedCitation" : "(BURKE, 2014; KAPP, 2002)", "previouslyFormattedCitation" : "(BURKE, 2014; KAPP, 2002)" }, "properties" : { "noteIndex" : 0 }, "schema" : "https://github.com/citation-style-language/schema/raw/master/csl-citation.json" }</w:instrText>
      </w:r>
      <w:r w:rsidRPr="002E5394">
        <w:rPr>
          <w:rFonts w:ascii="Times New Roman" w:hAnsi="Times New Roman" w:cs="Times New Roman"/>
          <w:sz w:val="24"/>
          <w:szCs w:val="24"/>
        </w:rPr>
        <w:fldChar w:fldCharType="separate"/>
      </w:r>
      <w:r w:rsidRPr="002E5394">
        <w:rPr>
          <w:rFonts w:ascii="Times New Roman" w:hAnsi="Times New Roman" w:cs="Times New Roman"/>
          <w:noProof/>
          <w:sz w:val="24"/>
          <w:szCs w:val="24"/>
        </w:rPr>
        <w:t>(BURKE, 2014; KAPP, 2002)</w:t>
      </w:r>
      <w:r w:rsidRPr="002E5394">
        <w:rPr>
          <w:rFonts w:ascii="Times New Roman" w:hAnsi="Times New Roman" w:cs="Times New Roman"/>
          <w:sz w:val="24"/>
          <w:szCs w:val="24"/>
        </w:rPr>
        <w:fldChar w:fldCharType="end"/>
      </w:r>
      <w:r w:rsidRPr="002E5394">
        <w:rPr>
          <w:rFonts w:ascii="Times New Roman" w:hAnsi="Times New Roman" w:cs="Times New Roman"/>
          <w:sz w:val="24"/>
          <w:szCs w:val="24"/>
        </w:rPr>
        <w:t>. A implantação da gamificação do trabalho é uma mudança em 3% das organizações pesquisadas (18, 73, 90, 104 e 143), sendo o uso diversificado desde a comunicação até ações de reconhecimento.</w:t>
      </w:r>
    </w:p>
    <w:p w14:paraId="374AABBC" w14:textId="77777777" w:rsidR="00C01C6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G. Embora o home office seja considerado uma mudança por algumas empresas (15, 52, 60 e 147), ele já está presente em cerca de 35% das organizações pesquisadas, mesmo que de forma pontual. Outras iniciativas, como horário flexível e short Friday, com expediente menor às sextas-feiras, são práticas que buscam promover uma maior qualidade de vida no trabalho.</w:t>
      </w:r>
    </w:p>
    <w:p w14:paraId="46AB1EFE" w14:textId="77777777" w:rsidR="00C01C6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H. Embora 98% das organizações se utilizem da tradicional avaliação, em alguns casos, essa prática começa a perder o papel central como ferramenta de avaliação. 5% das organizações declararam que estão mudando (44, 46, 58, 80, 87, 106, 110 e 113), optando por privilegiar um “</w:t>
      </w:r>
      <w:r w:rsidRPr="002E5394">
        <w:rPr>
          <w:rFonts w:ascii="Times New Roman" w:hAnsi="Times New Roman" w:cs="Times New Roman"/>
          <w:i/>
          <w:sz w:val="24"/>
          <w:szCs w:val="24"/>
        </w:rPr>
        <w:t xml:space="preserve">feedback </w:t>
      </w:r>
      <w:r w:rsidRPr="002E5394">
        <w:rPr>
          <w:rFonts w:ascii="Times New Roman" w:hAnsi="Times New Roman" w:cs="Times New Roman"/>
          <w:sz w:val="24"/>
          <w:szCs w:val="24"/>
        </w:rPr>
        <w:t>contínuo”, em que a troca de ideias sobre o desempenho do empregado, complementado por alinhamentos de expectativas e reforços quanto ao que se espera do empregado, em termos de atribuições e entregas, ocorre em curtos intervalos de tempo.</w:t>
      </w:r>
    </w:p>
    <w:p w14:paraId="2DD0CBFE" w14:textId="77777777" w:rsidR="00C01C6C" w:rsidRPr="002E5394" w:rsidRDefault="00C01C6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I. O estudo dos documentos das organizações estudadas demonstra que a gestão de mudanças, dentro do contexto de RH, é considerada por 12% das organizações (3, 4, 23,26, 29, 32, 47, 67, 80, 82, 84, 90, 93, 115, 126, 135 e 136), sendo que, em uma delas (127), efetuou-se uma mudança com a incorporação da GMO como área da ARH.</w:t>
      </w:r>
    </w:p>
    <w:p w14:paraId="3E2EA152"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Ao analisar os dados buscando atingir este objetivo foi importante voltar o olhar não para o que mudou, mas para o que não mudou e, mesmo quanto ao que mudou, foi importante refletir além da análise da mudança em si, mas para onde e porque esse movimento ocorreu. As mudanças de natureza estratégica mais intensas identificadas dizem respeito a mudanças da forma como o RH se configura em suas respectivas organizações em termos de estrutura. Verificou-se elevada semelhança na estrutura declarada pelas organizações.</w:t>
      </w:r>
    </w:p>
    <w:p w14:paraId="1DEF9CA9"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Observou-se dois tipos de estrutura da ARH em termos de unidade de controle: ou existindo um único </w:t>
      </w:r>
      <w:proofErr w:type="spellStart"/>
      <w:r w:rsidRPr="002E5394">
        <w:rPr>
          <w:rFonts w:ascii="Times New Roman" w:hAnsi="Times New Roman" w:cs="Times New Roman"/>
          <w:i/>
          <w:sz w:val="24"/>
          <w:szCs w:val="24"/>
        </w:rPr>
        <w:t>head</w:t>
      </w:r>
      <w:proofErr w:type="spellEnd"/>
      <w:r w:rsidRPr="002E5394">
        <w:rPr>
          <w:rFonts w:ascii="Times New Roman" w:hAnsi="Times New Roman" w:cs="Times New Roman"/>
          <w:sz w:val="24"/>
          <w:szCs w:val="24"/>
        </w:rPr>
        <w:t xml:space="preserve"> da área, cujo principal executivo se reporta à presidência de organização, ou um sistema de dupla liderança, com um </w:t>
      </w:r>
      <w:proofErr w:type="spellStart"/>
      <w:r w:rsidRPr="002E5394">
        <w:rPr>
          <w:rFonts w:ascii="Times New Roman" w:hAnsi="Times New Roman" w:cs="Times New Roman"/>
          <w:i/>
          <w:sz w:val="24"/>
          <w:szCs w:val="24"/>
        </w:rPr>
        <w:t>head</w:t>
      </w:r>
      <w:proofErr w:type="spellEnd"/>
      <w:r w:rsidRPr="002E5394">
        <w:rPr>
          <w:rFonts w:ascii="Times New Roman" w:hAnsi="Times New Roman" w:cs="Times New Roman"/>
          <w:sz w:val="24"/>
          <w:szCs w:val="24"/>
        </w:rPr>
        <w:t xml:space="preserve"> responsável pela coordenação no Brasil e um líder internacional da prática, em nível global ou multinacional. Especificamente com relação a este segundo modelo de dupla liderança, percebeu-se um elevado isomorfismo de caráter normativo, em que as organizações têm baixa autonomia para adaptação local da estrutura, estratégicas, políticas e práticas. Observou-se que apenas as práticas relacionadas com peculiaridades de natureza legal são mais adaptáveis, enquanto as demais seguem as normativas do </w:t>
      </w:r>
      <w:proofErr w:type="spellStart"/>
      <w:r w:rsidRPr="002E5394">
        <w:rPr>
          <w:rFonts w:ascii="Times New Roman" w:hAnsi="Times New Roman" w:cs="Times New Roman"/>
          <w:i/>
          <w:sz w:val="24"/>
          <w:szCs w:val="24"/>
        </w:rPr>
        <w:t>head</w:t>
      </w:r>
      <w:proofErr w:type="spellEnd"/>
      <w:r w:rsidRPr="002E5394">
        <w:rPr>
          <w:rFonts w:ascii="Times New Roman" w:hAnsi="Times New Roman" w:cs="Times New Roman"/>
          <w:i/>
          <w:sz w:val="24"/>
          <w:szCs w:val="24"/>
        </w:rPr>
        <w:t xml:space="preserve"> </w:t>
      </w:r>
      <w:proofErr w:type="spellStart"/>
      <w:r w:rsidRPr="002E5394">
        <w:rPr>
          <w:rFonts w:ascii="Times New Roman" w:hAnsi="Times New Roman" w:cs="Times New Roman"/>
          <w:i/>
          <w:sz w:val="24"/>
          <w:szCs w:val="24"/>
        </w:rPr>
        <w:t>quarter</w:t>
      </w:r>
      <w:proofErr w:type="spellEnd"/>
      <w:r w:rsidRPr="002E5394">
        <w:rPr>
          <w:rFonts w:ascii="Times New Roman" w:hAnsi="Times New Roman" w:cs="Times New Roman"/>
          <w:sz w:val="24"/>
          <w:szCs w:val="24"/>
        </w:rPr>
        <w:t>. Segundo Vasconcelos e Vasconcelos (2000), estruturas organizacionais não se mudam rapidamente, pois são fruto de uma ação adaptativa desenvolvida ao longo de anos. A resistência a mudanças dessa natureza aparece como um fenômeno comum e pode ser diminuída na medida em que se dê possibilidade de ação ao indivíduo, dentro da nova estrutura, onde ele possa sobreviver utilizando os meios de ação e cognição desenvolvidos por ele na estrutura organizacional anterior.</w:t>
      </w:r>
    </w:p>
    <w:p w14:paraId="0C59B905"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Outra mudança estratégica relatada por diversas organizações diz respeito a alterações de natureza cultural, ora relatando uma mudança da cultura da área em relação a um novo posicionamento organizacional, ora por conta da necessidade de a ARH colaborar em uma mudança cultural organizacional. Independentemente da forma com que as organizações e a </w:t>
      </w:r>
      <w:r w:rsidRPr="002E5394">
        <w:rPr>
          <w:rFonts w:ascii="Times New Roman" w:hAnsi="Times New Roman" w:cs="Times New Roman"/>
          <w:sz w:val="24"/>
          <w:szCs w:val="24"/>
        </w:rPr>
        <w:lastRenderedPageBreak/>
        <w:t xml:space="preserve">ARH delas estão envolvidas, parece que se trata de um isomorfismo coercitivo, na medida em que resulta de pressões formais e informais exercidas sobre estas organizações por expectativas culturais da sociedade em que as organizações atuam (DIMAGGIO; POWELL, 1983, p.150), ou seja, é o mecanismo pelo qual as organizações se conformam às expectativas culturais capazes de impor uniformidade às organizações. As organizações não declararam expressamente quais pressões foram determinantes para promoverem a mudança, se por conta de outras organizações das quais elas dependem, regulamentações governamentais ou influência de outros stakeholders. Contudo, é possível inferir este isomorfismo coercitivo, uma vez que o </w:t>
      </w:r>
      <w:proofErr w:type="spellStart"/>
      <w:r w:rsidRPr="002E5394">
        <w:rPr>
          <w:rFonts w:ascii="Times New Roman" w:hAnsi="Times New Roman" w:cs="Times New Roman"/>
          <w:sz w:val="24"/>
          <w:szCs w:val="24"/>
        </w:rPr>
        <w:t>mindset</w:t>
      </w:r>
      <w:proofErr w:type="spellEnd"/>
      <w:r w:rsidRPr="002E5394">
        <w:rPr>
          <w:rFonts w:ascii="Times New Roman" w:hAnsi="Times New Roman" w:cs="Times New Roman"/>
          <w:sz w:val="24"/>
          <w:szCs w:val="24"/>
        </w:rPr>
        <w:t xml:space="preserve"> organizacional não muda rapidamente quando se trata de aspectos culturais já enraizados na organização e a resistência a essas mudanças também aparece como um fenômeno comum.</w:t>
      </w:r>
    </w:p>
    <w:p w14:paraId="691B9C14"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Para </w:t>
      </w:r>
      <w:proofErr w:type="spellStart"/>
      <w:r w:rsidRPr="002E5394">
        <w:rPr>
          <w:rFonts w:ascii="Times New Roman" w:hAnsi="Times New Roman" w:cs="Times New Roman"/>
          <w:sz w:val="24"/>
          <w:szCs w:val="24"/>
        </w:rPr>
        <w:t>Dimaggio</w:t>
      </w:r>
      <w:proofErr w:type="spellEnd"/>
      <w:r w:rsidRPr="002E5394">
        <w:rPr>
          <w:rFonts w:ascii="Times New Roman" w:hAnsi="Times New Roman" w:cs="Times New Roman"/>
          <w:sz w:val="24"/>
          <w:szCs w:val="24"/>
        </w:rPr>
        <w:t xml:space="preserve"> e Powell (1983), as mudanças nas estruturas organizacionais deixaram de ser impulsionadas pela concorrência e necessidade de eficiência, resultando em processos que tornam as organizações mais similares, sem necessariamente serem mais eficientes. Ou seja, as abordagens organizacionais altamente estruturadas proveem um contexto no qual o esforço individual para tratar racionalmente a incerteza e restrições frequentemente leva à homogeneidade em estrutura, cultura e resultado.</w:t>
      </w:r>
    </w:p>
    <w:p w14:paraId="633F8BFF"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Outra mudança apontada por organizações diz respeito à questão da sustentabilidade como responsabilidade da ARH. Autores como Meira, Moreiras e </w:t>
      </w:r>
      <w:proofErr w:type="spellStart"/>
      <w:r w:rsidRPr="002E5394">
        <w:rPr>
          <w:rFonts w:ascii="Times New Roman" w:hAnsi="Times New Roman" w:cs="Times New Roman"/>
          <w:sz w:val="24"/>
          <w:szCs w:val="24"/>
        </w:rPr>
        <w:t>Assan</w:t>
      </w:r>
      <w:proofErr w:type="spellEnd"/>
      <w:r w:rsidRPr="002E5394">
        <w:rPr>
          <w:rFonts w:ascii="Times New Roman" w:hAnsi="Times New Roman" w:cs="Times New Roman"/>
          <w:sz w:val="24"/>
          <w:szCs w:val="24"/>
        </w:rPr>
        <w:t xml:space="preserve"> (2016) já haviam identificado uma relação isomórfica com a questão da sustentabilidade nas organizações, alertando quanto ao papel desempenhado pelas políticas públicas e agências reguladoras, bem como da sociedade, para que as empresas incorporem o tema de sustentabilidade em sua agenda estratégica. No caso das organizações que declararam mudanças relacionadas a sustentabilidade, trata-se de isomorfismo de caráter normativo, uma vez que foram impulsionadas por diretrizes de gestão ambiental incorporadas por estas organizações.</w:t>
      </w:r>
    </w:p>
    <w:p w14:paraId="17EAA296" w14:textId="77777777" w:rsidR="00DC7BAA" w:rsidRPr="002E5394" w:rsidRDefault="00DC7BAA" w:rsidP="002E5394">
      <w:pPr>
        <w:spacing w:after="120" w:line="240" w:lineRule="auto"/>
        <w:rPr>
          <w:rFonts w:ascii="Times New Roman" w:hAnsi="Times New Roman" w:cs="Times New Roman"/>
          <w:b/>
          <w:sz w:val="24"/>
          <w:szCs w:val="24"/>
        </w:rPr>
      </w:pPr>
      <w:r w:rsidRPr="002E5394">
        <w:rPr>
          <w:rFonts w:ascii="Times New Roman" w:hAnsi="Times New Roman" w:cs="Times New Roman"/>
          <w:b/>
          <w:sz w:val="24"/>
          <w:szCs w:val="24"/>
        </w:rPr>
        <w:t>Conclusão</w:t>
      </w:r>
    </w:p>
    <w:p w14:paraId="1F6C0C04"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Autores como Alvin </w:t>
      </w:r>
      <w:proofErr w:type="spellStart"/>
      <w:r w:rsidRPr="002E5394">
        <w:rPr>
          <w:rFonts w:ascii="Times New Roman" w:hAnsi="Times New Roman" w:cs="Times New Roman"/>
          <w:sz w:val="24"/>
          <w:szCs w:val="24"/>
        </w:rPr>
        <w:t>Toffler</w:t>
      </w:r>
      <w:proofErr w:type="spellEnd"/>
      <w:r w:rsidRPr="002E5394">
        <w:rPr>
          <w:rFonts w:ascii="Times New Roman" w:hAnsi="Times New Roman" w:cs="Times New Roman"/>
          <w:sz w:val="24"/>
          <w:szCs w:val="24"/>
        </w:rPr>
        <w:t xml:space="preserve"> e Steve Case afirmam que as organizações estão entrando em uma “terceira onda”, na qual a internet e a tecnologia estão impulsionando as organizações para se reinventarem e revolucionarem o “mundo real” (CASE, 2017). A recente pesquisa conduzida pela Deloitte </w:t>
      </w:r>
      <w:proofErr w:type="spellStart"/>
      <w:r w:rsidRPr="002E5394">
        <w:rPr>
          <w:rFonts w:ascii="Times New Roman" w:hAnsi="Times New Roman" w:cs="Times New Roman"/>
          <w:sz w:val="24"/>
          <w:szCs w:val="24"/>
        </w:rPr>
        <w:t>Touche</w:t>
      </w:r>
      <w:proofErr w:type="spellEnd"/>
      <w:r w:rsidRPr="002E5394">
        <w:rPr>
          <w:rFonts w:ascii="Times New Roman" w:hAnsi="Times New Roman" w:cs="Times New Roman"/>
          <w:sz w:val="24"/>
          <w:szCs w:val="24"/>
        </w:rPr>
        <w:t xml:space="preserve"> </w:t>
      </w:r>
      <w:proofErr w:type="spellStart"/>
      <w:r w:rsidRPr="002E5394">
        <w:rPr>
          <w:rFonts w:ascii="Times New Roman" w:hAnsi="Times New Roman" w:cs="Times New Roman"/>
          <w:sz w:val="24"/>
          <w:szCs w:val="24"/>
        </w:rPr>
        <w:t>Tohmatsu</w:t>
      </w:r>
      <w:proofErr w:type="spellEnd"/>
      <w:r w:rsidRPr="002E5394">
        <w:rPr>
          <w:rFonts w:ascii="Times New Roman" w:hAnsi="Times New Roman" w:cs="Times New Roman"/>
          <w:sz w:val="24"/>
          <w:szCs w:val="24"/>
        </w:rPr>
        <w:t xml:space="preserve"> (2017), realizada em nível global junto a mais de 10.000 líderes de RH, em 140 países, revelou que a maior preocupação dos práticos da área diz respeito a como a ARH vai colaborar e, eventualmente, conduzir esse movimento rumo às “organizações do futuro”. </w:t>
      </w:r>
    </w:p>
    <w:p w14:paraId="0F15BFC9"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 academia, da mesma forma, já sinalizou a necessidade de a ARH se adaptar a esse cenário emergente. </w:t>
      </w:r>
      <w:proofErr w:type="spellStart"/>
      <w:r w:rsidRPr="002E5394">
        <w:rPr>
          <w:rFonts w:ascii="Times New Roman" w:hAnsi="Times New Roman" w:cs="Times New Roman"/>
          <w:sz w:val="24"/>
          <w:szCs w:val="24"/>
        </w:rPr>
        <w:t>Lawler</w:t>
      </w:r>
      <w:proofErr w:type="spellEnd"/>
      <w:r w:rsidRPr="002E5394">
        <w:rPr>
          <w:rFonts w:ascii="Times New Roman" w:hAnsi="Times New Roman" w:cs="Times New Roman"/>
          <w:sz w:val="24"/>
          <w:szCs w:val="24"/>
        </w:rPr>
        <w:t xml:space="preserve"> e </w:t>
      </w:r>
      <w:proofErr w:type="spellStart"/>
      <w:r w:rsidRPr="002E5394">
        <w:rPr>
          <w:rFonts w:ascii="Times New Roman" w:hAnsi="Times New Roman" w:cs="Times New Roman"/>
          <w:sz w:val="24"/>
          <w:szCs w:val="24"/>
        </w:rPr>
        <w:t>Worley</w:t>
      </w:r>
      <w:proofErr w:type="spellEnd"/>
      <w:r w:rsidRPr="002E5394">
        <w:rPr>
          <w:rFonts w:ascii="Times New Roman" w:hAnsi="Times New Roman" w:cs="Times New Roman"/>
          <w:sz w:val="24"/>
          <w:szCs w:val="24"/>
        </w:rPr>
        <w:t xml:space="preserve"> (2011) sugeriram que, ao invés de a ARH se expandir horizontalmente, meramente assumindo mais áreas, as corporações deveriam inovar em sua estrutura e processos, em um movimento estratégico para integrar funções que impulsionam a eficácia organizacional, incluindo responsabilidade social, comunicação, estratégia, design organizacional e eficácia sustentável (LAWLER; WORLEY, 2011).</w:t>
      </w:r>
    </w:p>
    <w:p w14:paraId="506B3CB0"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No trabalho realizado, foram estudadas, em profundidade, as mudanças na ARH de 150 organizações, estabelecidas no Brasil, selecionadas em pesquisa anterior (FUNDAÇÃO INSTITUTO DE ADMINISTRAÇÃO, 2016) como organizações com excelência em sua ARH. Podemos inferir que essas organizações são especialmente adequadas para o estudo que foi conduzido, uma vez que se mostram propensas a uma postura inovadora, buscando manter-se em um alto nível de eficácia e alavancando a efetividade na gestão de pessoas.</w:t>
      </w:r>
    </w:p>
    <w:p w14:paraId="3D040E65" w14:textId="77777777" w:rsidR="00DB0B2F" w:rsidRPr="002E5394" w:rsidRDefault="00DB0B2F" w:rsidP="002E5394">
      <w:pPr>
        <w:spacing w:after="120" w:line="240" w:lineRule="auto"/>
        <w:jc w:val="both"/>
        <w:rPr>
          <w:rFonts w:ascii="Times New Roman" w:hAnsi="Times New Roman" w:cs="Times New Roman"/>
          <w:sz w:val="24"/>
          <w:szCs w:val="24"/>
        </w:rPr>
      </w:pPr>
    </w:p>
    <w:p w14:paraId="5FA90617"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lastRenderedPageBreak/>
        <w:t>As 92 mudanças identificadas se mostraram relativamente dispersas dentre os diversos portes e segmentos das organizações pesquisadas. De fato, nos causou alguma surpresa que organizações que fazem uso intenso da tecnologia, como as de computação e telecomunicações, não aparecessem com destaque em iniciativas de mudança, uma vez que a literatura destaca o fator tecnológico como impulsionador de modificações. Também foi interessante observar que as mudanças aconteceram em maior número nas empresas do segmento industrial, enquanto comércio e serviços não apresentaram com tanta intensidade. Cabe mencionar ainda que não houve concentração na quantidade de mudanças por conta do porte da empresa, o que sugere que esta variável não é impeditiva ou facilitadora de mudanças.</w:t>
      </w:r>
    </w:p>
    <w:p w14:paraId="725B928B" w14:textId="77777777" w:rsidR="00DB0B2F" w:rsidRPr="002E5394" w:rsidRDefault="00DB0B2F"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O mimetismo ou apropriação organizacional ocorre quando as organizações de copiam as práticas e estruturas das organizações líderes, po</w:t>
      </w:r>
      <w:r w:rsidR="006F358A" w:rsidRPr="002E5394">
        <w:rPr>
          <w:rFonts w:ascii="Times New Roman" w:hAnsi="Times New Roman" w:cs="Times New Roman"/>
          <w:sz w:val="24"/>
          <w:szCs w:val="24"/>
        </w:rPr>
        <w:t>is</w:t>
      </w:r>
      <w:r w:rsidRPr="002E5394">
        <w:rPr>
          <w:rFonts w:ascii="Times New Roman" w:hAnsi="Times New Roman" w:cs="Times New Roman"/>
          <w:sz w:val="24"/>
          <w:szCs w:val="24"/>
        </w:rPr>
        <w:t xml:space="preserve"> as considerar</w:t>
      </w:r>
      <w:r w:rsidR="006F358A" w:rsidRPr="002E5394">
        <w:rPr>
          <w:rFonts w:ascii="Times New Roman" w:hAnsi="Times New Roman" w:cs="Times New Roman"/>
          <w:sz w:val="24"/>
          <w:szCs w:val="24"/>
        </w:rPr>
        <w:t>a</w:t>
      </w:r>
      <w:r w:rsidRPr="002E5394">
        <w:rPr>
          <w:rFonts w:ascii="Times New Roman" w:hAnsi="Times New Roman" w:cs="Times New Roman"/>
          <w:sz w:val="24"/>
          <w:szCs w:val="24"/>
        </w:rPr>
        <w:t>m mais eficazes por conta de fatores que vão desde seus bons resultados até por elas serem fonte de prestígio. O benchmarking — entendido como adoção e difusão de boas práticas de gestão onde organizações adotam os modos de funcionamento das outras instituições, copiando certos aspectos e adaptando outros às suas necessidades visando melhorar sua eficiência — à luz da Teoria Institucional, é um exemplo do isoformismo mimético, caracterizado pela adoção de modelos testados e bem-sucedidos em organizações similares. São muitos os casos de organizações que “lançam moda” e são copiadas pelas outras, o que leva a uma concentração de certas práticas organizacionais em determinado sistema ou setor. A comparação entre as organizações pesquisadas, por meio da análise de suas próprias declarações, cujos achados foram detalhados no objetivo anterior, aponta para um elevado isoformismo mimético. Este isoformismo pode ser verificado pela comparação de estruturas, políticas e práticas de ARH, declaradas por elas.</w:t>
      </w:r>
      <w:r w:rsidR="006F358A" w:rsidRPr="002E5394">
        <w:rPr>
          <w:rFonts w:ascii="Times New Roman" w:hAnsi="Times New Roman" w:cs="Times New Roman"/>
          <w:sz w:val="24"/>
          <w:szCs w:val="24"/>
        </w:rPr>
        <w:t xml:space="preserve"> Os resultados da presente pesquisa apontam que as mudanças, pouco tem de disruptivas e transformacionais, segundo um perfil conservador onde se estabelece um elevado isoformismo institucional na ARH brasileira.</w:t>
      </w:r>
    </w:p>
    <w:p w14:paraId="3E11D7CE" w14:textId="77777777" w:rsidR="00EF1CF6" w:rsidRPr="002E5394" w:rsidRDefault="00EF1CF6"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A importância desta pesquisa relaciona-se ao interesse de teóricos e práticos no entendimento do que envolve a função RH, sobretudo quanto às mudanças que podem estar ocorrendo diante de um cenário volátil, incerto, complexo e ambíguo. Na medida em que as organizações estão mudando, o trabalho se propõe a oferecer uma contribuição original a partir do entendimento sobre aspectos da ARH no contexto nacional, observando se </w:t>
      </w:r>
      <w:proofErr w:type="gramStart"/>
      <w:r w:rsidRPr="002E5394">
        <w:rPr>
          <w:rFonts w:ascii="Times New Roman" w:hAnsi="Times New Roman" w:cs="Times New Roman"/>
          <w:sz w:val="24"/>
          <w:szCs w:val="24"/>
        </w:rPr>
        <w:t>e</w:t>
      </w:r>
      <w:proofErr w:type="gramEnd"/>
      <w:r w:rsidRPr="002E5394">
        <w:rPr>
          <w:rFonts w:ascii="Times New Roman" w:hAnsi="Times New Roman" w:cs="Times New Roman"/>
          <w:sz w:val="24"/>
          <w:szCs w:val="24"/>
        </w:rPr>
        <w:t xml:space="preserve"> o que está mudando em organizações estabelecidas no Brasil. As contribuições do estudo envolvem a clarificação da realidade e servem de parâmetro para a identificação de lacunas nas pesquisas do campo, cooperando, ainda, como parâmetro para a reflexão do saber necessário aos profissionais da área. </w:t>
      </w:r>
    </w:p>
    <w:p w14:paraId="4D90D6AC" w14:textId="77777777" w:rsidR="00A6089B" w:rsidRPr="002E5394" w:rsidRDefault="00A6089B"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t xml:space="preserve">Salientando o que já foi pontuado anteriormente, a ARH e suas mudanças são influenciadas pelo contexto e, considerando a instabilidade política e econômica do momento em que se realizou a presente pesquisa é possível inferir que as organizações poderiam não estar propensas a conduzir grandes mudanças. A reprodução dessa pesquisa em momento futuro poderá servir para aprofundar a questão da influência do contexto nas mudanças. </w:t>
      </w:r>
    </w:p>
    <w:p w14:paraId="48886059" w14:textId="77777777" w:rsidR="00070A98" w:rsidRPr="002E5394" w:rsidRDefault="00DC7BAA" w:rsidP="002E5394">
      <w:pPr>
        <w:spacing w:after="120" w:line="240" w:lineRule="auto"/>
        <w:jc w:val="both"/>
        <w:rPr>
          <w:rFonts w:ascii="Times New Roman" w:hAnsi="Times New Roman" w:cs="Times New Roman"/>
          <w:b/>
          <w:sz w:val="24"/>
          <w:szCs w:val="24"/>
        </w:rPr>
      </w:pPr>
      <w:r w:rsidRPr="002E5394">
        <w:rPr>
          <w:rFonts w:ascii="Times New Roman" w:hAnsi="Times New Roman" w:cs="Times New Roman"/>
          <w:b/>
          <w:sz w:val="24"/>
          <w:szCs w:val="24"/>
        </w:rPr>
        <w:t>Referências Bibliográficas</w:t>
      </w:r>
    </w:p>
    <w:p w14:paraId="32E50455" w14:textId="77777777" w:rsidR="00A47B88" w:rsidRPr="002E5394" w:rsidRDefault="003D33FC"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sz w:val="24"/>
          <w:szCs w:val="24"/>
        </w:rPr>
        <w:fldChar w:fldCharType="begin" w:fldLock="1"/>
      </w:r>
      <w:r w:rsidRPr="002E5394">
        <w:rPr>
          <w:rFonts w:ascii="Times New Roman" w:hAnsi="Times New Roman" w:cs="Times New Roman"/>
          <w:sz w:val="24"/>
          <w:szCs w:val="24"/>
        </w:rPr>
        <w:instrText xml:space="preserve">ADDIN Mendeley Bibliography CSL_BIBLIOGRAPHY </w:instrText>
      </w:r>
      <w:r w:rsidRPr="002E5394">
        <w:rPr>
          <w:rFonts w:ascii="Times New Roman" w:hAnsi="Times New Roman" w:cs="Times New Roman"/>
          <w:sz w:val="24"/>
          <w:szCs w:val="24"/>
        </w:rPr>
        <w:fldChar w:fldCharType="separate"/>
      </w:r>
      <w:r w:rsidR="00A47B88" w:rsidRPr="002E5394">
        <w:rPr>
          <w:rFonts w:ascii="Times New Roman" w:hAnsi="Times New Roman" w:cs="Times New Roman"/>
          <w:noProof/>
          <w:sz w:val="24"/>
          <w:szCs w:val="24"/>
        </w:rPr>
        <w:t xml:space="preserve">AMORIM, W. A. C. DE. </w:t>
      </w:r>
      <w:r w:rsidR="00A47B88" w:rsidRPr="002E5394">
        <w:rPr>
          <w:rFonts w:ascii="Times New Roman" w:hAnsi="Times New Roman" w:cs="Times New Roman"/>
          <w:b/>
          <w:bCs/>
          <w:noProof/>
          <w:sz w:val="24"/>
          <w:szCs w:val="24"/>
        </w:rPr>
        <w:t>A evolução das organizações de apoio às entidades sindicais brasileiras: um estudo sob a lente da aprendizagem organizacional (Tese de doutorado, FEA-USP)</w:t>
      </w:r>
      <w:r w:rsidR="00A47B88" w:rsidRPr="002E5394">
        <w:rPr>
          <w:rFonts w:ascii="Times New Roman" w:hAnsi="Times New Roman" w:cs="Times New Roman"/>
          <w:noProof/>
          <w:sz w:val="24"/>
          <w:szCs w:val="24"/>
        </w:rPr>
        <w:t>. São Paulo: Universidade de São Paulo, 2007.</w:t>
      </w:r>
    </w:p>
    <w:p w14:paraId="16E40E18"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BARDIN, L. </w:t>
      </w:r>
      <w:r w:rsidRPr="002E5394">
        <w:rPr>
          <w:rFonts w:ascii="Times New Roman" w:hAnsi="Times New Roman" w:cs="Times New Roman"/>
          <w:b/>
          <w:bCs/>
          <w:noProof/>
          <w:sz w:val="24"/>
          <w:szCs w:val="24"/>
        </w:rPr>
        <w:t>Análise de Conteúdo</w:t>
      </w:r>
      <w:r w:rsidRPr="002E5394">
        <w:rPr>
          <w:rFonts w:ascii="Times New Roman" w:hAnsi="Times New Roman" w:cs="Times New Roman"/>
          <w:noProof/>
          <w:sz w:val="24"/>
          <w:szCs w:val="24"/>
        </w:rPr>
        <w:t xml:space="preserve">. 2 reimp ed. São Paulo: Edições 70, 2011. </w:t>
      </w:r>
    </w:p>
    <w:p w14:paraId="45FD60B2"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BARRETO, L. M. T. DA S. et al. </w:t>
      </w:r>
      <w:r w:rsidRPr="002E5394">
        <w:rPr>
          <w:rFonts w:ascii="Times New Roman" w:hAnsi="Times New Roman" w:cs="Times New Roman"/>
          <w:b/>
          <w:bCs/>
          <w:noProof/>
          <w:sz w:val="24"/>
          <w:szCs w:val="24"/>
        </w:rPr>
        <w:t>Gestão de Pessoas: Projetando Desafios e Tendências para 2015</w:t>
      </w:r>
      <w:r w:rsidRPr="002E5394">
        <w:rPr>
          <w:rFonts w:ascii="Times New Roman" w:hAnsi="Times New Roman" w:cs="Times New Roman"/>
          <w:noProof/>
          <w:sz w:val="24"/>
          <w:szCs w:val="24"/>
        </w:rPr>
        <w:t xml:space="preserve">. VI Encontro da Divisão de Estudos Organizacionais da ANPAD. </w:t>
      </w:r>
      <w:r w:rsidRPr="002E5394">
        <w:rPr>
          <w:rFonts w:ascii="Times New Roman" w:hAnsi="Times New Roman" w:cs="Times New Roman"/>
          <w:b/>
          <w:bCs/>
          <w:noProof/>
          <w:sz w:val="24"/>
          <w:szCs w:val="24"/>
        </w:rPr>
        <w:t>Anais</w:t>
      </w:r>
      <w:r w:rsidRPr="002E5394">
        <w:rPr>
          <w:rFonts w:ascii="Times New Roman" w:hAnsi="Times New Roman" w:cs="Times New Roman"/>
          <w:noProof/>
          <w:sz w:val="24"/>
          <w:szCs w:val="24"/>
        </w:rPr>
        <w:t>...Florianópolis: ANPAD, 2010</w:t>
      </w:r>
    </w:p>
    <w:p w14:paraId="24736C6D"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lastRenderedPageBreak/>
        <w:t xml:space="preserve">BIANCHI, E. M. P. G. </w:t>
      </w:r>
      <w:r w:rsidRPr="002E5394">
        <w:rPr>
          <w:rFonts w:ascii="Times New Roman" w:hAnsi="Times New Roman" w:cs="Times New Roman"/>
          <w:b/>
          <w:bCs/>
          <w:noProof/>
          <w:sz w:val="24"/>
          <w:szCs w:val="24"/>
        </w:rPr>
        <w:t>Sentido do trabalho: uma demanda dos profissionais e um desafio para as organizações (Tese de doutorado, FEA-USP)</w:t>
      </w:r>
      <w:r w:rsidRPr="002E5394">
        <w:rPr>
          <w:rFonts w:ascii="Times New Roman" w:hAnsi="Times New Roman" w:cs="Times New Roman"/>
          <w:noProof/>
          <w:sz w:val="24"/>
          <w:szCs w:val="24"/>
        </w:rPr>
        <w:t>. São Paulo: Usiversidade de São Paulo, 2013.</w:t>
      </w:r>
    </w:p>
    <w:p w14:paraId="7B134A51"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BILHIM, J. A. DE F. Mudança Organizacional. In: COSTA, S. G. DA; VIEIRA, L.; RODRIGUES, J. N. (Eds.) . </w:t>
      </w:r>
      <w:r w:rsidRPr="002E5394">
        <w:rPr>
          <w:rFonts w:ascii="Times New Roman" w:hAnsi="Times New Roman" w:cs="Times New Roman"/>
          <w:b/>
          <w:bCs/>
          <w:noProof/>
          <w:sz w:val="24"/>
          <w:szCs w:val="24"/>
        </w:rPr>
        <w:t>Gestão da Mudança</w:t>
      </w:r>
      <w:r w:rsidRPr="002E5394">
        <w:rPr>
          <w:rFonts w:ascii="Times New Roman" w:hAnsi="Times New Roman" w:cs="Times New Roman"/>
          <w:noProof/>
          <w:sz w:val="24"/>
          <w:szCs w:val="24"/>
        </w:rPr>
        <w:t xml:space="preserve">. São Paulo: Editora Atlas, 2010. p. 214. </w:t>
      </w:r>
    </w:p>
    <w:p w14:paraId="2E16F286"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BRITO, R. P. DE; BRITO, L. A. L. Vantagem Competitiva e sua Relação com o Desempenho – uma Abordagem Baseada em Valor. </w:t>
      </w:r>
      <w:r w:rsidRPr="002E5394">
        <w:rPr>
          <w:rFonts w:ascii="Times New Roman" w:hAnsi="Times New Roman" w:cs="Times New Roman"/>
          <w:b/>
          <w:bCs/>
          <w:noProof/>
          <w:sz w:val="24"/>
          <w:szCs w:val="24"/>
        </w:rPr>
        <w:t>RAC – Revista de Administração Contemporânea</w:t>
      </w:r>
      <w:r w:rsidRPr="002E5394">
        <w:rPr>
          <w:rFonts w:ascii="Times New Roman" w:hAnsi="Times New Roman" w:cs="Times New Roman"/>
          <w:noProof/>
          <w:sz w:val="24"/>
          <w:szCs w:val="24"/>
        </w:rPr>
        <w:t xml:space="preserve">, v. 16, n. Maio/Jun. 2012, p. 360–380, 2012. </w:t>
      </w:r>
    </w:p>
    <w:p w14:paraId="4162C423"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lang w:val="en-US"/>
        </w:rPr>
        <w:t xml:space="preserve">BURKE, B. </w:t>
      </w:r>
      <w:r w:rsidRPr="002E5394">
        <w:rPr>
          <w:rFonts w:ascii="Times New Roman" w:hAnsi="Times New Roman" w:cs="Times New Roman"/>
          <w:b/>
          <w:bCs/>
          <w:noProof/>
          <w:sz w:val="24"/>
          <w:szCs w:val="24"/>
          <w:lang w:val="en-US"/>
        </w:rPr>
        <w:t>Gamify: How Gamification Motivates People to Do Extraordinary Things</w:t>
      </w:r>
      <w:r w:rsidRPr="002E5394">
        <w:rPr>
          <w:rFonts w:ascii="Times New Roman" w:hAnsi="Times New Roman" w:cs="Times New Roman"/>
          <w:noProof/>
          <w:sz w:val="24"/>
          <w:szCs w:val="24"/>
          <w:lang w:val="en-US"/>
        </w:rPr>
        <w:t xml:space="preserve">. </w:t>
      </w:r>
      <w:r w:rsidRPr="002E5394">
        <w:rPr>
          <w:rFonts w:ascii="Times New Roman" w:hAnsi="Times New Roman" w:cs="Times New Roman"/>
          <w:noProof/>
          <w:sz w:val="24"/>
          <w:szCs w:val="24"/>
        </w:rPr>
        <w:t xml:space="preserve">New York: Bibliomotion, 2014. </w:t>
      </w:r>
    </w:p>
    <w:p w14:paraId="050B5B2B"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rPr>
        <w:t xml:space="preserve">CALDAS, M. P.; FACHIN, R. Paradigma funcionalista: desenvolvimento de teorias e institucionalismo nos anos 1980 e 1990. In: CALDAS, M. P.; BERTERO, C. O. (Eds.) . </w:t>
      </w:r>
      <w:r w:rsidRPr="002E5394">
        <w:rPr>
          <w:rFonts w:ascii="Times New Roman" w:hAnsi="Times New Roman" w:cs="Times New Roman"/>
          <w:b/>
          <w:bCs/>
          <w:noProof/>
          <w:sz w:val="24"/>
          <w:szCs w:val="24"/>
        </w:rPr>
        <w:t>Teoria das Organizações</w:t>
      </w:r>
      <w:r w:rsidRPr="002E5394">
        <w:rPr>
          <w:rFonts w:ascii="Times New Roman" w:hAnsi="Times New Roman" w:cs="Times New Roman"/>
          <w:noProof/>
          <w:sz w:val="24"/>
          <w:szCs w:val="24"/>
        </w:rPr>
        <w:t xml:space="preserve">. </w:t>
      </w:r>
      <w:r w:rsidRPr="002E5394">
        <w:rPr>
          <w:rFonts w:ascii="Times New Roman" w:hAnsi="Times New Roman" w:cs="Times New Roman"/>
          <w:noProof/>
          <w:sz w:val="24"/>
          <w:szCs w:val="24"/>
          <w:lang w:val="en-US"/>
        </w:rPr>
        <w:t xml:space="preserve">São Paulo: Atlas, 2007. p. 69–79. </w:t>
      </w:r>
    </w:p>
    <w:p w14:paraId="1FB53C0B"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lang w:val="en-US"/>
        </w:rPr>
        <w:t xml:space="preserve">DELOITTE TOUCHE TOHMATSU. </w:t>
      </w:r>
      <w:r w:rsidRPr="002E5394">
        <w:rPr>
          <w:rFonts w:ascii="Times New Roman" w:hAnsi="Times New Roman" w:cs="Times New Roman"/>
          <w:b/>
          <w:bCs/>
          <w:noProof/>
          <w:sz w:val="24"/>
          <w:szCs w:val="24"/>
          <w:lang w:val="en-US"/>
        </w:rPr>
        <w:t>Rewriting the rules for the digital age: 2017 Deloitte Global Human Capital Trends</w:t>
      </w:r>
      <w:r w:rsidRPr="002E5394">
        <w:rPr>
          <w:rFonts w:ascii="Times New Roman" w:hAnsi="Times New Roman" w:cs="Times New Roman"/>
          <w:noProof/>
          <w:sz w:val="24"/>
          <w:szCs w:val="24"/>
          <w:lang w:val="en-US"/>
        </w:rPr>
        <w:t xml:space="preserve">. </w:t>
      </w:r>
      <w:r w:rsidRPr="002E5394">
        <w:rPr>
          <w:rFonts w:ascii="Times New Roman" w:hAnsi="Times New Roman" w:cs="Times New Roman"/>
          <w:noProof/>
          <w:sz w:val="24"/>
          <w:szCs w:val="24"/>
        </w:rPr>
        <w:t xml:space="preserve">New York: Deloitte University Press, 2017. </w:t>
      </w:r>
    </w:p>
    <w:p w14:paraId="06CD270D"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DEMO, G.; FOGAÇA, N.; FERNANDES, T. Políticas e Práticas de Gestão de Pessoas: Revisão Bibliométrica da Produção Nacional em Periódicos de Primeira Linha e Institucionalização da Pesquisa no Brasil entre 2010 e 2014. </w:t>
      </w:r>
      <w:r w:rsidRPr="002E5394">
        <w:rPr>
          <w:rFonts w:ascii="Times New Roman" w:hAnsi="Times New Roman" w:cs="Times New Roman"/>
          <w:b/>
          <w:bCs/>
          <w:noProof/>
          <w:sz w:val="24"/>
          <w:szCs w:val="24"/>
        </w:rPr>
        <w:t>V Encontro de Gestão de Pessoas e Relações de Trabalho</w:t>
      </w:r>
      <w:r w:rsidRPr="002E5394">
        <w:rPr>
          <w:rFonts w:ascii="Times New Roman" w:hAnsi="Times New Roman" w:cs="Times New Roman"/>
          <w:noProof/>
          <w:sz w:val="24"/>
          <w:szCs w:val="24"/>
        </w:rPr>
        <w:t xml:space="preserve">, n. V, p. 1–15, 2015. </w:t>
      </w:r>
    </w:p>
    <w:p w14:paraId="075FC1EB"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DIEESE. </w:t>
      </w:r>
      <w:r w:rsidRPr="002E5394">
        <w:rPr>
          <w:rFonts w:ascii="Times New Roman" w:hAnsi="Times New Roman" w:cs="Times New Roman"/>
          <w:b/>
          <w:bCs/>
          <w:noProof/>
          <w:sz w:val="24"/>
          <w:szCs w:val="24"/>
        </w:rPr>
        <w:t>Anuário do Trabalho nos Pequenos Negócios 2015</w:t>
      </w:r>
      <w:r w:rsidRPr="002E5394">
        <w:rPr>
          <w:rFonts w:ascii="Times New Roman" w:hAnsi="Times New Roman" w:cs="Times New Roman"/>
          <w:noProof/>
          <w:sz w:val="24"/>
          <w:szCs w:val="24"/>
        </w:rPr>
        <w:t xml:space="preserve">. 8. ed. São Paulo: DIEESE, 2017. </w:t>
      </w:r>
    </w:p>
    <w:p w14:paraId="7F9EFD94"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rPr>
        <w:t xml:space="preserve">DIMAGGIO, P. J. .; POWELL, W. W. . </w:t>
      </w:r>
      <w:r w:rsidRPr="002E5394">
        <w:rPr>
          <w:rFonts w:ascii="Times New Roman" w:hAnsi="Times New Roman" w:cs="Times New Roman"/>
          <w:noProof/>
          <w:sz w:val="24"/>
          <w:szCs w:val="24"/>
          <w:lang w:val="en-US"/>
        </w:rPr>
        <w:t xml:space="preserve">The Iron Cage Revisited : Institutional Isomorphism and Collective Rationality in Organizational Fields. </w:t>
      </w:r>
      <w:r w:rsidRPr="002E5394">
        <w:rPr>
          <w:rFonts w:ascii="Times New Roman" w:hAnsi="Times New Roman" w:cs="Times New Roman"/>
          <w:b/>
          <w:bCs/>
          <w:noProof/>
          <w:sz w:val="24"/>
          <w:szCs w:val="24"/>
          <w:lang w:val="en-US"/>
        </w:rPr>
        <w:t>American Sociological Review</w:t>
      </w:r>
      <w:r w:rsidRPr="002E5394">
        <w:rPr>
          <w:rFonts w:ascii="Times New Roman" w:hAnsi="Times New Roman" w:cs="Times New Roman"/>
          <w:noProof/>
          <w:sz w:val="24"/>
          <w:szCs w:val="24"/>
          <w:lang w:val="en-US"/>
        </w:rPr>
        <w:t xml:space="preserve">, v. 48, n. 2, p. 147–160, 1983. </w:t>
      </w:r>
    </w:p>
    <w:p w14:paraId="1173133A"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DULEBOHN, J. H.; FERRIS, G. R.; STODD, J. T. The History and Evolution of Human Resource Management. In: FERRIS, G. R.; ROSEN, S. D.; BARNUM, D. R. (Eds.). . </w:t>
      </w:r>
      <w:r w:rsidRPr="002E5394">
        <w:rPr>
          <w:rFonts w:ascii="Times New Roman" w:hAnsi="Times New Roman" w:cs="Times New Roman"/>
          <w:b/>
          <w:bCs/>
          <w:noProof/>
          <w:sz w:val="24"/>
          <w:szCs w:val="24"/>
          <w:lang w:val="en-US"/>
        </w:rPr>
        <w:t>Handbook of Human Resource Management</w:t>
      </w:r>
      <w:r w:rsidRPr="002E5394">
        <w:rPr>
          <w:rFonts w:ascii="Times New Roman" w:hAnsi="Times New Roman" w:cs="Times New Roman"/>
          <w:noProof/>
          <w:sz w:val="24"/>
          <w:szCs w:val="24"/>
          <w:lang w:val="en-US"/>
        </w:rPr>
        <w:t xml:space="preserve">. Oxford: Blackwell Publishers Ltd, 1995. p. 666. </w:t>
      </w:r>
    </w:p>
    <w:p w14:paraId="06B54050"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FISCHER, A. L. </w:t>
      </w:r>
      <w:r w:rsidRPr="002E5394">
        <w:rPr>
          <w:rFonts w:ascii="Times New Roman" w:hAnsi="Times New Roman" w:cs="Times New Roman"/>
          <w:b/>
          <w:bCs/>
          <w:noProof/>
          <w:sz w:val="24"/>
          <w:szCs w:val="24"/>
        </w:rPr>
        <w:t>A Constituição do Modelo Competitivo de Gestão de Pessoas no Brasil - Um Estudo Sobre as Empresas Consideradas Exemplares (Tese de Doutorado)</w:t>
      </w:r>
      <w:r w:rsidRPr="002E5394">
        <w:rPr>
          <w:rFonts w:ascii="Times New Roman" w:hAnsi="Times New Roman" w:cs="Times New Roman"/>
          <w:noProof/>
          <w:sz w:val="24"/>
          <w:szCs w:val="24"/>
        </w:rPr>
        <w:t>São Paulo</w:t>
      </w:r>
      <w:r w:rsidR="00A6089B" w:rsidRPr="002E5394">
        <w:rPr>
          <w:rFonts w:ascii="Times New Roman" w:hAnsi="Times New Roman" w:cs="Times New Roman"/>
          <w:noProof/>
          <w:sz w:val="24"/>
          <w:szCs w:val="24"/>
        </w:rPr>
        <w:t xml:space="preserve">: </w:t>
      </w:r>
      <w:r w:rsidRPr="002E5394">
        <w:rPr>
          <w:rFonts w:ascii="Times New Roman" w:hAnsi="Times New Roman" w:cs="Times New Roman"/>
          <w:noProof/>
          <w:sz w:val="24"/>
          <w:szCs w:val="24"/>
        </w:rPr>
        <w:t xml:space="preserve">Universidade de São Paulo, 1998. </w:t>
      </w:r>
    </w:p>
    <w:p w14:paraId="7270DEED" w14:textId="77777777" w:rsidR="00A47B88" w:rsidRPr="002E5394" w:rsidRDefault="000F6EFD"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_____________</w:t>
      </w:r>
      <w:r w:rsidR="00A47B88" w:rsidRPr="002E5394">
        <w:rPr>
          <w:rFonts w:ascii="Times New Roman" w:hAnsi="Times New Roman" w:cs="Times New Roman"/>
          <w:noProof/>
          <w:sz w:val="24"/>
          <w:szCs w:val="24"/>
        </w:rPr>
        <w:t xml:space="preserve">. Um resgate conceitual e histórico dos modelos de gestão de pessoas. In: FLEURY, M. T. L. (Ed.). </w:t>
      </w:r>
      <w:r w:rsidR="00A47B88" w:rsidRPr="002E5394">
        <w:rPr>
          <w:rFonts w:ascii="Times New Roman" w:hAnsi="Times New Roman" w:cs="Times New Roman"/>
          <w:b/>
          <w:bCs/>
          <w:noProof/>
          <w:sz w:val="24"/>
          <w:szCs w:val="24"/>
        </w:rPr>
        <w:t>As pessoas na Organização</w:t>
      </w:r>
      <w:r w:rsidR="00A47B88" w:rsidRPr="002E5394">
        <w:rPr>
          <w:rFonts w:ascii="Times New Roman" w:hAnsi="Times New Roman" w:cs="Times New Roman"/>
          <w:noProof/>
          <w:sz w:val="24"/>
          <w:szCs w:val="24"/>
        </w:rPr>
        <w:t xml:space="preserve">. São Paulo: Ed. Gente, 2002. p. 62. </w:t>
      </w:r>
    </w:p>
    <w:p w14:paraId="6F252E32" w14:textId="77777777" w:rsidR="00A47B88" w:rsidRPr="002E5394" w:rsidRDefault="000F6EFD"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_____________</w:t>
      </w:r>
      <w:r w:rsidR="00A47B88" w:rsidRPr="002E5394">
        <w:rPr>
          <w:rFonts w:ascii="Times New Roman" w:hAnsi="Times New Roman" w:cs="Times New Roman"/>
          <w:noProof/>
          <w:sz w:val="24"/>
          <w:szCs w:val="24"/>
        </w:rPr>
        <w:t xml:space="preserve">. Modelo de Gestão de Pessoas. In: </w:t>
      </w:r>
      <w:r w:rsidR="00A47B88" w:rsidRPr="002E5394">
        <w:rPr>
          <w:rFonts w:ascii="Times New Roman" w:hAnsi="Times New Roman" w:cs="Times New Roman"/>
          <w:b/>
          <w:bCs/>
          <w:noProof/>
          <w:sz w:val="24"/>
          <w:szCs w:val="24"/>
        </w:rPr>
        <w:t>Dicionário de Psicologia do Trabalho e Organizações</w:t>
      </w:r>
      <w:r w:rsidR="00A47B88" w:rsidRPr="002E5394">
        <w:rPr>
          <w:rFonts w:ascii="Times New Roman" w:hAnsi="Times New Roman" w:cs="Times New Roman"/>
          <w:noProof/>
          <w:sz w:val="24"/>
          <w:szCs w:val="24"/>
        </w:rPr>
        <w:t xml:space="preserve">. São Paulo: Casa do Psicólogo, 2015. p. 445–452. </w:t>
      </w:r>
    </w:p>
    <w:p w14:paraId="006A1700"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rPr>
        <w:t xml:space="preserve">FISCHER, A. L.; ALBUQUERQUE, L. </w:t>
      </w:r>
      <w:r w:rsidRPr="002E5394">
        <w:rPr>
          <w:rFonts w:ascii="Times New Roman" w:hAnsi="Times New Roman" w:cs="Times New Roman"/>
          <w:b/>
          <w:bCs/>
          <w:noProof/>
          <w:sz w:val="24"/>
          <w:szCs w:val="24"/>
        </w:rPr>
        <w:t>Tendências Que Orientam as Decisões dos Formadores de Opinião em Gestão de Pessoas no Brasil - RH 2010</w:t>
      </w:r>
      <w:r w:rsidRPr="002E5394">
        <w:rPr>
          <w:rFonts w:ascii="Times New Roman" w:hAnsi="Times New Roman" w:cs="Times New Roman"/>
          <w:noProof/>
          <w:sz w:val="24"/>
          <w:szCs w:val="24"/>
        </w:rPr>
        <w:t xml:space="preserve">. </w:t>
      </w:r>
      <w:r w:rsidRPr="002E5394">
        <w:rPr>
          <w:rFonts w:ascii="Times New Roman" w:hAnsi="Times New Roman" w:cs="Times New Roman"/>
          <w:noProof/>
          <w:sz w:val="24"/>
          <w:szCs w:val="24"/>
          <w:lang w:val="en-US"/>
        </w:rPr>
        <w:t xml:space="preserve">XXV Encontro da ANPAD - EnANPAD. </w:t>
      </w:r>
      <w:r w:rsidRPr="002E5394">
        <w:rPr>
          <w:rFonts w:ascii="Times New Roman" w:hAnsi="Times New Roman" w:cs="Times New Roman"/>
          <w:b/>
          <w:bCs/>
          <w:noProof/>
          <w:sz w:val="24"/>
          <w:szCs w:val="24"/>
          <w:lang w:val="en-US"/>
        </w:rPr>
        <w:t>Anais</w:t>
      </w:r>
      <w:r w:rsidRPr="002E5394">
        <w:rPr>
          <w:rFonts w:ascii="Times New Roman" w:hAnsi="Times New Roman" w:cs="Times New Roman"/>
          <w:noProof/>
          <w:sz w:val="24"/>
          <w:szCs w:val="24"/>
          <w:lang w:val="en-US"/>
        </w:rPr>
        <w:t>...Campinas: ANPAD, 2011</w:t>
      </w:r>
    </w:p>
    <w:p w14:paraId="0100FE98"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FLICK, U. </w:t>
      </w:r>
      <w:r w:rsidRPr="002E5394">
        <w:rPr>
          <w:rFonts w:ascii="Times New Roman" w:hAnsi="Times New Roman" w:cs="Times New Roman"/>
          <w:b/>
          <w:bCs/>
          <w:noProof/>
          <w:sz w:val="24"/>
          <w:szCs w:val="24"/>
          <w:lang w:val="en-US"/>
        </w:rPr>
        <w:t>Designing Qualitative Research</w:t>
      </w:r>
      <w:r w:rsidRPr="002E5394">
        <w:rPr>
          <w:rFonts w:ascii="Times New Roman" w:hAnsi="Times New Roman" w:cs="Times New Roman"/>
          <w:noProof/>
          <w:sz w:val="24"/>
          <w:szCs w:val="24"/>
          <w:lang w:val="en-US"/>
        </w:rPr>
        <w:t xml:space="preserve">. London: Sage Publications, 2007. </w:t>
      </w:r>
    </w:p>
    <w:p w14:paraId="1E33CB6A"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rPr>
        <w:t xml:space="preserve">FRANCO, M. L. P. B. </w:t>
      </w:r>
      <w:r w:rsidRPr="002E5394">
        <w:rPr>
          <w:rFonts w:ascii="Times New Roman" w:hAnsi="Times New Roman" w:cs="Times New Roman"/>
          <w:b/>
          <w:bCs/>
          <w:noProof/>
          <w:sz w:val="24"/>
          <w:szCs w:val="24"/>
        </w:rPr>
        <w:t>Análise de Conteúdo</w:t>
      </w:r>
      <w:r w:rsidRPr="002E5394">
        <w:rPr>
          <w:rFonts w:ascii="Times New Roman" w:hAnsi="Times New Roman" w:cs="Times New Roman"/>
          <w:noProof/>
          <w:sz w:val="24"/>
          <w:szCs w:val="24"/>
        </w:rPr>
        <w:t xml:space="preserve">. </w:t>
      </w:r>
      <w:r w:rsidRPr="002E5394">
        <w:rPr>
          <w:rFonts w:ascii="Times New Roman" w:hAnsi="Times New Roman" w:cs="Times New Roman"/>
          <w:noProof/>
          <w:sz w:val="24"/>
          <w:szCs w:val="24"/>
          <w:lang w:val="en-US"/>
        </w:rPr>
        <w:t xml:space="preserve">4. ed. Brasilia: Liber, 2012. </w:t>
      </w:r>
    </w:p>
    <w:p w14:paraId="440F5757"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GREENWOOD, R. et al. </w:t>
      </w:r>
      <w:r w:rsidRPr="002E5394">
        <w:rPr>
          <w:rFonts w:ascii="Times New Roman" w:hAnsi="Times New Roman" w:cs="Times New Roman"/>
          <w:b/>
          <w:bCs/>
          <w:noProof/>
          <w:sz w:val="24"/>
          <w:szCs w:val="24"/>
          <w:lang w:val="en-US"/>
        </w:rPr>
        <w:t>The Sage Handbook of Organizational Institutionalism</w:t>
      </w:r>
      <w:r w:rsidRPr="002E5394">
        <w:rPr>
          <w:rFonts w:ascii="Times New Roman" w:hAnsi="Times New Roman" w:cs="Times New Roman"/>
          <w:noProof/>
          <w:sz w:val="24"/>
          <w:szCs w:val="24"/>
          <w:lang w:val="en-US"/>
        </w:rPr>
        <w:t xml:space="preserve">. 2. ed. London: SAGE Publications Ltd, 2017. </w:t>
      </w:r>
    </w:p>
    <w:p w14:paraId="1B968E25"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HOSKISSON, R. E.; HITT, M. A. Management : Swings of a pendulum. </w:t>
      </w:r>
      <w:r w:rsidRPr="002E5394">
        <w:rPr>
          <w:rFonts w:ascii="Times New Roman" w:hAnsi="Times New Roman" w:cs="Times New Roman"/>
          <w:b/>
          <w:bCs/>
          <w:noProof/>
          <w:sz w:val="24"/>
          <w:szCs w:val="24"/>
          <w:lang w:val="en-US"/>
        </w:rPr>
        <w:t xml:space="preserve">Journal of </w:t>
      </w:r>
      <w:r w:rsidRPr="002E5394">
        <w:rPr>
          <w:rFonts w:ascii="Times New Roman" w:hAnsi="Times New Roman" w:cs="Times New Roman"/>
          <w:b/>
          <w:bCs/>
          <w:noProof/>
          <w:sz w:val="24"/>
          <w:szCs w:val="24"/>
          <w:lang w:val="en-US"/>
        </w:rPr>
        <w:lastRenderedPageBreak/>
        <w:t>Management</w:t>
      </w:r>
      <w:r w:rsidRPr="002E5394">
        <w:rPr>
          <w:rFonts w:ascii="Times New Roman" w:hAnsi="Times New Roman" w:cs="Times New Roman"/>
          <w:noProof/>
          <w:sz w:val="24"/>
          <w:szCs w:val="24"/>
          <w:lang w:val="en-US"/>
        </w:rPr>
        <w:t xml:space="preserve">, v. 25, n. 3, p. 417–456, 1999. </w:t>
      </w:r>
    </w:p>
    <w:p w14:paraId="79D7E207"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KAPP, K. M. </w:t>
      </w:r>
      <w:r w:rsidRPr="002E5394">
        <w:rPr>
          <w:rFonts w:ascii="Times New Roman" w:hAnsi="Times New Roman" w:cs="Times New Roman"/>
          <w:b/>
          <w:bCs/>
          <w:noProof/>
          <w:sz w:val="24"/>
          <w:szCs w:val="24"/>
          <w:lang w:val="en-US"/>
        </w:rPr>
        <w:t>The Gamification of Learning and Instruction: Game-Based Methods and Strategies for Training and Education</w:t>
      </w:r>
      <w:r w:rsidRPr="002E5394">
        <w:rPr>
          <w:rFonts w:ascii="Times New Roman" w:hAnsi="Times New Roman" w:cs="Times New Roman"/>
          <w:noProof/>
          <w:sz w:val="24"/>
          <w:szCs w:val="24"/>
          <w:lang w:val="en-US"/>
        </w:rPr>
        <w:t xml:space="preserve">. San Francisco: Pfeiffer &amp; Company, 2002. </w:t>
      </w:r>
    </w:p>
    <w:p w14:paraId="6A071669"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KRAMAR, R.; PARRY, E. Strategic human resource management in the Asia Pacific region: Similarities and differences? </w:t>
      </w:r>
      <w:r w:rsidRPr="002E5394">
        <w:rPr>
          <w:rFonts w:ascii="Times New Roman" w:hAnsi="Times New Roman" w:cs="Times New Roman"/>
          <w:b/>
          <w:bCs/>
          <w:noProof/>
          <w:sz w:val="24"/>
          <w:szCs w:val="24"/>
          <w:lang w:val="en-US"/>
        </w:rPr>
        <w:t>Asia Pacific Journal of Human Resources</w:t>
      </w:r>
      <w:r w:rsidRPr="002E5394">
        <w:rPr>
          <w:rFonts w:ascii="Times New Roman" w:hAnsi="Times New Roman" w:cs="Times New Roman"/>
          <w:noProof/>
          <w:sz w:val="24"/>
          <w:szCs w:val="24"/>
          <w:lang w:val="en-US"/>
        </w:rPr>
        <w:t xml:space="preserve">, 2014. </w:t>
      </w:r>
    </w:p>
    <w:p w14:paraId="2CF39B54"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LATHAM, G. P.; SULSKY, L. M.; MACDONALD, H. Performance Management. In: BOXALL, P.; PURCELL, J.; WRIGHT, P. M. (Eds.). . </w:t>
      </w:r>
      <w:r w:rsidRPr="002E5394">
        <w:rPr>
          <w:rFonts w:ascii="Times New Roman" w:hAnsi="Times New Roman" w:cs="Times New Roman"/>
          <w:b/>
          <w:bCs/>
          <w:noProof/>
          <w:sz w:val="24"/>
          <w:szCs w:val="24"/>
          <w:lang w:val="en-US"/>
        </w:rPr>
        <w:t>The Oxford Handbook of Human Resource Management</w:t>
      </w:r>
      <w:r w:rsidRPr="002E5394">
        <w:rPr>
          <w:rFonts w:ascii="Times New Roman" w:hAnsi="Times New Roman" w:cs="Times New Roman"/>
          <w:noProof/>
          <w:sz w:val="24"/>
          <w:szCs w:val="24"/>
          <w:lang w:val="en-US"/>
        </w:rPr>
        <w:t xml:space="preserve">. Oxford: Oxford University Press, 2008. p. 528. </w:t>
      </w:r>
    </w:p>
    <w:p w14:paraId="189AAF8C"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LAWLER, E. E. HR: Time for a reset? </w:t>
      </w:r>
      <w:r w:rsidRPr="002E5394">
        <w:rPr>
          <w:rFonts w:ascii="Times New Roman" w:hAnsi="Times New Roman" w:cs="Times New Roman"/>
          <w:b/>
          <w:bCs/>
          <w:noProof/>
          <w:sz w:val="24"/>
          <w:szCs w:val="24"/>
          <w:lang w:val="en-US"/>
        </w:rPr>
        <w:t>Human Resource Management</w:t>
      </w:r>
      <w:r w:rsidRPr="002E5394">
        <w:rPr>
          <w:rFonts w:ascii="Times New Roman" w:hAnsi="Times New Roman" w:cs="Times New Roman"/>
          <w:noProof/>
          <w:sz w:val="24"/>
          <w:szCs w:val="24"/>
          <w:lang w:val="en-US"/>
        </w:rPr>
        <w:t xml:space="preserve">, v. 50, n. 2, p. 171–173, 2011. </w:t>
      </w:r>
    </w:p>
    <w:p w14:paraId="014D5306"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LAWLER, E. E.; WORLEY, C. G. </w:t>
      </w:r>
      <w:r w:rsidRPr="002E5394">
        <w:rPr>
          <w:rFonts w:ascii="Times New Roman" w:hAnsi="Times New Roman" w:cs="Times New Roman"/>
          <w:b/>
          <w:bCs/>
          <w:noProof/>
          <w:sz w:val="24"/>
          <w:szCs w:val="24"/>
          <w:lang w:val="en-US"/>
        </w:rPr>
        <w:t>Management Reset: Organizing for Sustainable Effectiveness</w:t>
      </w:r>
      <w:r w:rsidRPr="002E5394">
        <w:rPr>
          <w:rFonts w:ascii="Times New Roman" w:hAnsi="Times New Roman" w:cs="Times New Roman"/>
          <w:noProof/>
          <w:sz w:val="24"/>
          <w:szCs w:val="24"/>
          <w:lang w:val="en-US"/>
        </w:rPr>
        <w:t xml:space="preserve">. San Francisco: Jossey-Bass, 2011. </w:t>
      </w:r>
    </w:p>
    <w:p w14:paraId="0E76B365"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LEGGE, K. </w:t>
      </w:r>
      <w:r w:rsidRPr="002E5394">
        <w:rPr>
          <w:rFonts w:ascii="Times New Roman" w:hAnsi="Times New Roman" w:cs="Times New Roman"/>
          <w:b/>
          <w:bCs/>
          <w:noProof/>
          <w:sz w:val="24"/>
          <w:szCs w:val="24"/>
          <w:lang w:val="en-US"/>
        </w:rPr>
        <w:t>Human Resource Management: Rhetorics and Realities</w:t>
      </w:r>
      <w:r w:rsidRPr="002E5394">
        <w:rPr>
          <w:rFonts w:ascii="Times New Roman" w:hAnsi="Times New Roman" w:cs="Times New Roman"/>
          <w:noProof/>
          <w:sz w:val="24"/>
          <w:szCs w:val="24"/>
          <w:lang w:val="en-US"/>
        </w:rPr>
        <w:t xml:space="preserve">. New York: Palgrave Macmillan, 2005. </w:t>
      </w:r>
    </w:p>
    <w:p w14:paraId="7ACCF597"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LEPAK, D. P.; SHAW, J. D. Strategic HRM in North America: Looking to the future. </w:t>
      </w:r>
      <w:r w:rsidRPr="002E5394">
        <w:rPr>
          <w:rFonts w:ascii="Times New Roman" w:hAnsi="Times New Roman" w:cs="Times New Roman"/>
          <w:b/>
          <w:bCs/>
          <w:noProof/>
          <w:sz w:val="24"/>
          <w:szCs w:val="24"/>
          <w:lang w:val="en-US"/>
        </w:rPr>
        <w:t>International Journal of Human Resource Management</w:t>
      </w:r>
      <w:r w:rsidRPr="002E5394">
        <w:rPr>
          <w:rFonts w:ascii="Times New Roman" w:hAnsi="Times New Roman" w:cs="Times New Roman"/>
          <w:noProof/>
          <w:sz w:val="24"/>
          <w:szCs w:val="24"/>
          <w:lang w:val="en-US"/>
        </w:rPr>
        <w:t xml:space="preserve">, v. 19, n. 8, p. 1486–1499, 2008. </w:t>
      </w:r>
    </w:p>
    <w:p w14:paraId="23F6ADA3"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MASON, J. </w:t>
      </w:r>
      <w:r w:rsidRPr="002E5394">
        <w:rPr>
          <w:rFonts w:ascii="Times New Roman" w:hAnsi="Times New Roman" w:cs="Times New Roman"/>
          <w:b/>
          <w:bCs/>
          <w:noProof/>
          <w:sz w:val="24"/>
          <w:szCs w:val="24"/>
          <w:lang w:val="en-US"/>
        </w:rPr>
        <w:t>Qualitative researching</w:t>
      </w:r>
      <w:r w:rsidRPr="002E5394">
        <w:rPr>
          <w:rFonts w:ascii="Times New Roman" w:hAnsi="Times New Roman" w:cs="Times New Roman"/>
          <w:noProof/>
          <w:sz w:val="24"/>
          <w:szCs w:val="24"/>
          <w:lang w:val="en-US"/>
        </w:rPr>
        <w:t xml:space="preserve">. London: Sage Publications, 2002. </w:t>
      </w:r>
    </w:p>
    <w:p w14:paraId="4970072D"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MEYER, J. W.; ROWAN, B. Institutionalized Organizations: Formal Structure as Myth and Ceremonyl. </w:t>
      </w:r>
      <w:r w:rsidRPr="002E5394">
        <w:rPr>
          <w:rFonts w:ascii="Times New Roman" w:hAnsi="Times New Roman" w:cs="Times New Roman"/>
          <w:b/>
          <w:bCs/>
          <w:noProof/>
          <w:sz w:val="24"/>
          <w:szCs w:val="24"/>
          <w:lang w:val="en-US"/>
        </w:rPr>
        <w:t>American Journal of Sociology</w:t>
      </w:r>
      <w:r w:rsidRPr="002E5394">
        <w:rPr>
          <w:rFonts w:ascii="Times New Roman" w:hAnsi="Times New Roman" w:cs="Times New Roman"/>
          <w:noProof/>
          <w:sz w:val="24"/>
          <w:szCs w:val="24"/>
          <w:lang w:val="en-US"/>
        </w:rPr>
        <w:t xml:space="preserve">, v. 83, n. 2, p. 340–363, 1977. </w:t>
      </w:r>
    </w:p>
    <w:p w14:paraId="69D035B1"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PAAUWE, J.; BOSELIE, P. Challenging “strategic HRM” and the relevance of the institutional setting. </w:t>
      </w:r>
      <w:r w:rsidRPr="002E5394">
        <w:rPr>
          <w:rFonts w:ascii="Times New Roman" w:hAnsi="Times New Roman" w:cs="Times New Roman"/>
          <w:b/>
          <w:bCs/>
          <w:noProof/>
          <w:sz w:val="24"/>
          <w:szCs w:val="24"/>
          <w:lang w:val="en-US"/>
        </w:rPr>
        <w:t>Human Resource Management Journal</w:t>
      </w:r>
      <w:r w:rsidRPr="002E5394">
        <w:rPr>
          <w:rFonts w:ascii="Times New Roman" w:hAnsi="Times New Roman" w:cs="Times New Roman"/>
          <w:noProof/>
          <w:sz w:val="24"/>
          <w:szCs w:val="24"/>
          <w:lang w:val="en-US"/>
        </w:rPr>
        <w:t xml:space="preserve">, v. 13, n. 3, p. 56–70, 2003. </w:t>
      </w:r>
    </w:p>
    <w:p w14:paraId="73A8BA2A"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lang w:val="en-US"/>
        </w:rPr>
      </w:pPr>
      <w:r w:rsidRPr="002E5394">
        <w:rPr>
          <w:rFonts w:ascii="Times New Roman" w:hAnsi="Times New Roman" w:cs="Times New Roman"/>
          <w:noProof/>
          <w:sz w:val="24"/>
          <w:szCs w:val="24"/>
          <w:lang w:val="en-US"/>
        </w:rPr>
        <w:t xml:space="preserve">PRAHALAD, C. K.; HAMEL, G.; JUNE, M. A Y. The Core Competence of the Corporation. </w:t>
      </w:r>
      <w:r w:rsidRPr="002E5394">
        <w:rPr>
          <w:rFonts w:ascii="Times New Roman" w:hAnsi="Times New Roman" w:cs="Times New Roman"/>
          <w:b/>
          <w:bCs/>
          <w:noProof/>
          <w:sz w:val="24"/>
          <w:szCs w:val="24"/>
          <w:lang w:val="en-US"/>
        </w:rPr>
        <w:t>Harvard Business Review</w:t>
      </w:r>
      <w:r w:rsidRPr="002E5394">
        <w:rPr>
          <w:rFonts w:ascii="Times New Roman" w:hAnsi="Times New Roman" w:cs="Times New Roman"/>
          <w:noProof/>
          <w:sz w:val="24"/>
          <w:szCs w:val="24"/>
          <w:lang w:val="en-US"/>
        </w:rPr>
        <w:t xml:space="preserve">, v. 68, n. 3, p. 79–91, 1990. </w:t>
      </w:r>
    </w:p>
    <w:p w14:paraId="2AFAC88F"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lang w:val="en-US"/>
        </w:rPr>
        <w:t xml:space="preserve">SCULLION, H.; COLLINGS, D. International human resource management in the 21st century: emerging themes and contemporary debates. </w:t>
      </w:r>
      <w:r w:rsidRPr="002E5394">
        <w:rPr>
          <w:rFonts w:ascii="Times New Roman" w:hAnsi="Times New Roman" w:cs="Times New Roman"/>
          <w:b/>
          <w:bCs/>
          <w:noProof/>
          <w:sz w:val="24"/>
          <w:szCs w:val="24"/>
        </w:rPr>
        <w:t>Resource Management</w:t>
      </w:r>
      <w:r w:rsidRPr="002E5394">
        <w:rPr>
          <w:rFonts w:ascii="Times New Roman" w:hAnsi="Times New Roman" w:cs="Times New Roman"/>
          <w:noProof/>
          <w:sz w:val="24"/>
          <w:szCs w:val="24"/>
        </w:rPr>
        <w:t xml:space="preserve">, v. 17, n. 4, p. 309–319, 2007. </w:t>
      </w:r>
    </w:p>
    <w:p w14:paraId="71ECCD9E"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TOLBERT, P. S.; ZUCKER, L. G. A Institucionalização da Teoria Institucional. In: </w:t>
      </w:r>
      <w:r w:rsidRPr="002E5394">
        <w:rPr>
          <w:rFonts w:ascii="Times New Roman" w:hAnsi="Times New Roman" w:cs="Times New Roman"/>
          <w:b/>
          <w:bCs/>
          <w:noProof/>
          <w:sz w:val="24"/>
          <w:szCs w:val="24"/>
        </w:rPr>
        <w:t>Handbook de Estudos Organizacionais</w:t>
      </w:r>
      <w:r w:rsidRPr="002E5394">
        <w:rPr>
          <w:rFonts w:ascii="Times New Roman" w:hAnsi="Times New Roman" w:cs="Times New Roman"/>
          <w:noProof/>
          <w:sz w:val="24"/>
          <w:szCs w:val="24"/>
        </w:rPr>
        <w:t xml:space="preserve">. São Paulo: Atlas, 2007. p. 194–217. </w:t>
      </w:r>
    </w:p>
    <w:p w14:paraId="24992507"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szCs w:val="24"/>
        </w:rPr>
      </w:pPr>
      <w:r w:rsidRPr="002E5394">
        <w:rPr>
          <w:rFonts w:ascii="Times New Roman" w:hAnsi="Times New Roman" w:cs="Times New Roman"/>
          <w:noProof/>
          <w:sz w:val="24"/>
          <w:szCs w:val="24"/>
        </w:rPr>
        <w:t xml:space="preserve">WOOD JR., T. </w:t>
      </w:r>
      <w:r w:rsidRPr="002E5394">
        <w:rPr>
          <w:rFonts w:ascii="Times New Roman" w:hAnsi="Times New Roman" w:cs="Times New Roman"/>
          <w:b/>
          <w:bCs/>
          <w:noProof/>
          <w:sz w:val="24"/>
          <w:szCs w:val="24"/>
        </w:rPr>
        <w:t>Mudança Organizacional</w:t>
      </w:r>
      <w:r w:rsidRPr="002E5394">
        <w:rPr>
          <w:rFonts w:ascii="Times New Roman" w:hAnsi="Times New Roman" w:cs="Times New Roman"/>
          <w:noProof/>
          <w:sz w:val="24"/>
          <w:szCs w:val="24"/>
        </w:rPr>
        <w:t xml:space="preserve">. São Paulo: Atlas, 2005. </w:t>
      </w:r>
    </w:p>
    <w:p w14:paraId="222E567C" w14:textId="77777777" w:rsidR="00A47B88" w:rsidRPr="002E5394" w:rsidRDefault="00A47B88" w:rsidP="002E5394">
      <w:pPr>
        <w:widowControl w:val="0"/>
        <w:autoSpaceDE w:val="0"/>
        <w:autoSpaceDN w:val="0"/>
        <w:adjustRightInd w:val="0"/>
        <w:spacing w:after="120" w:line="240" w:lineRule="auto"/>
        <w:jc w:val="both"/>
        <w:rPr>
          <w:rFonts w:ascii="Times New Roman" w:hAnsi="Times New Roman" w:cs="Times New Roman"/>
          <w:noProof/>
          <w:sz w:val="24"/>
        </w:rPr>
      </w:pPr>
      <w:r w:rsidRPr="002E5394">
        <w:rPr>
          <w:rFonts w:ascii="Times New Roman" w:hAnsi="Times New Roman" w:cs="Times New Roman"/>
          <w:noProof/>
          <w:sz w:val="24"/>
          <w:szCs w:val="24"/>
        </w:rPr>
        <w:t xml:space="preserve">WOOD JR, T.; TONELLI, M. J.; COOKE, B. Colonização e Neocolonização da Gestão de Recursos Humanos no Brasil (1950-2010). </w:t>
      </w:r>
      <w:r w:rsidRPr="002E5394">
        <w:rPr>
          <w:rFonts w:ascii="Times New Roman" w:hAnsi="Times New Roman" w:cs="Times New Roman"/>
          <w:b/>
          <w:bCs/>
          <w:noProof/>
          <w:sz w:val="24"/>
          <w:szCs w:val="24"/>
        </w:rPr>
        <w:t>Revista de Administração de Empresas</w:t>
      </w:r>
      <w:r w:rsidRPr="002E5394">
        <w:rPr>
          <w:rFonts w:ascii="Times New Roman" w:hAnsi="Times New Roman" w:cs="Times New Roman"/>
          <w:noProof/>
          <w:sz w:val="24"/>
          <w:szCs w:val="24"/>
        </w:rPr>
        <w:t xml:space="preserve">, v. 51, n. 3, p. 232–243, 2011. </w:t>
      </w:r>
    </w:p>
    <w:p w14:paraId="66B89DD3" w14:textId="77777777" w:rsidR="003D33FC" w:rsidRPr="002E5394" w:rsidRDefault="003D33FC" w:rsidP="002E5394">
      <w:pPr>
        <w:spacing w:after="120" w:line="240" w:lineRule="auto"/>
        <w:jc w:val="both"/>
        <w:rPr>
          <w:rFonts w:ascii="Times New Roman" w:hAnsi="Times New Roman" w:cs="Times New Roman"/>
          <w:sz w:val="24"/>
          <w:szCs w:val="24"/>
        </w:rPr>
      </w:pPr>
      <w:r w:rsidRPr="002E5394">
        <w:rPr>
          <w:rFonts w:ascii="Times New Roman" w:hAnsi="Times New Roman" w:cs="Times New Roman"/>
          <w:sz w:val="24"/>
          <w:szCs w:val="24"/>
        </w:rPr>
        <w:fldChar w:fldCharType="end"/>
      </w:r>
    </w:p>
    <w:sectPr w:rsidR="003D33FC" w:rsidRPr="002E5394" w:rsidSect="00DC7BAA">
      <w:footerReference w:type="default" r:id="rId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87B71" w14:textId="77777777" w:rsidR="00125ADC" w:rsidRDefault="00125ADC" w:rsidP="00DC7BAA">
      <w:pPr>
        <w:spacing w:after="0" w:line="240" w:lineRule="auto"/>
      </w:pPr>
      <w:r>
        <w:separator/>
      </w:r>
    </w:p>
  </w:endnote>
  <w:endnote w:type="continuationSeparator" w:id="0">
    <w:p w14:paraId="3F5003B7" w14:textId="77777777" w:rsidR="00125ADC" w:rsidRDefault="00125ADC" w:rsidP="00DC7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5A213" w14:textId="77777777" w:rsidR="00C773A6" w:rsidRPr="00DC7BAA" w:rsidRDefault="00C773A6" w:rsidP="00DC7BAA">
    <w:pPr>
      <w:pStyle w:val="Rodap"/>
      <w:jc w:val="right"/>
      <w:rPr>
        <w:rFonts w:ascii="Times New Roman" w:hAnsi="Times New Roman" w:cs="Times New Roman"/>
        <w:sz w:val="24"/>
        <w:szCs w:val="24"/>
      </w:rPr>
    </w:pPr>
    <w:r w:rsidRPr="00DC7BAA">
      <w:rPr>
        <w:rFonts w:ascii="Times New Roman" w:hAnsi="Times New Roman" w:cs="Times New Roman"/>
        <w:sz w:val="24"/>
        <w:szCs w:val="24"/>
      </w:rPr>
      <w:fldChar w:fldCharType="begin"/>
    </w:r>
    <w:r w:rsidRPr="00DC7BAA">
      <w:rPr>
        <w:rFonts w:ascii="Times New Roman" w:hAnsi="Times New Roman" w:cs="Times New Roman"/>
        <w:sz w:val="24"/>
        <w:szCs w:val="24"/>
      </w:rPr>
      <w:instrText>PAGE   \* MERGEFORMAT</w:instrText>
    </w:r>
    <w:r w:rsidRPr="00DC7BAA">
      <w:rPr>
        <w:rFonts w:ascii="Times New Roman" w:hAnsi="Times New Roman" w:cs="Times New Roman"/>
        <w:sz w:val="24"/>
        <w:szCs w:val="24"/>
      </w:rPr>
      <w:fldChar w:fldCharType="separate"/>
    </w:r>
    <w:r w:rsidRPr="00DC7BAA">
      <w:rPr>
        <w:rFonts w:ascii="Times New Roman" w:hAnsi="Times New Roman" w:cs="Times New Roman"/>
        <w:sz w:val="24"/>
        <w:szCs w:val="24"/>
      </w:rPr>
      <w:t>1</w:t>
    </w:r>
    <w:r w:rsidRPr="00DC7BAA">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BBE15" w14:textId="77777777" w:rsidR="00125ADC" w:rsidRDefault="00125ADC" w:rsidP="00DC7BAA">
      <w:pPr>
        <w:spacing w:after="0" w:line="240" w:lineRule="auto"/>
      </w:pPr>
      <w:r>
        <w:separator/>
      </w:r>
    </w:p>
  </w:footnote>
  <w:footnote w:type="continuationSeparator" w:id="0">
    <w:p w14:paraId="6C3FAFDA" w14:textId="77777777" w:rsidR="00125ADC" w:rsidRDefault="00125ADC" w:rsidP="00DC7B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3730AA"/>
    <w:multiLevelType w:val="hybridMultilevel"/>
    <w:tmpl w:val="3E20B612"/>
    <w:lvl w:ilvl="0" w:tplc="B6CAD44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AA"/>
    <w:rsid w:val="000305B2"/>
    <w:rsid w:val="00070A98"/>
    <w:rsid w:val="00076878"/>
    <w:rsid w:val="000F6EFD"/>
    <w:rsid w:val="001249BB"/>
    <w:rsid w:val="00125ADC"/>
    <w:rsid w:val="001B24D6"/>
    <w:rsid w:val="001D5900"/>
    <w:rsid w:val="001F7C9E"/>
    <w:rsid w:val="002E5394"/>
    <w:rsid w:val="003D33FC"/>
    <w:rsid w:val="004736DB"/>
    <w:rsid w:val="004A0550"/>
    <w:rsid w:val="00554779"/>
    <w:rsid w:val="005A3731"/>
    <w:rsid w:val="005D1E0F"/>
    <w:rsid w:val="005F73A6"/>
    <w:rsid w:val="006744EC"/>
    <w:rsid w:val="006F358A"/>
    <w:rsid w:val="0080122A"/>
    <w:rsid w:val="00845649"/>
    <w:rsid w:val="00853B93"/>
    <w:rsid w:val="009237E1"/>
    <w:rsid w:val="00925A29"/>
    <w:rsid w:val="00933F32"/>
    <w:rsid w:val="009C64DB"/>
    <w:rsid w:val="009D2FBB"/>
    <w:rsid w:val="00A47B88"/>
    <w:rsid w:val="00A6089B"/>
    <w:rsid w:val="00A93A2E"/>
    <w:rsid w:val="00AC42C3"/>
    <w:rsid w:val="00AE6CCB"/>
    <w:rsid w:val="00C01C6C"/>
    <w:rsid w:val="00C773A6"/>
    <w:rsid w:val="00DB0B2F"/>
    <w:rsid w:val="00DC7BAA"/>
    <w:rsid w:val="00E252C8"/>
    <w:rsid w:val="00ED40A8"/>
    <w:rsid w:val="00EF1CF6"/>
    <w:rsid w:val="00F15130"/>
    <w:rsid w:val="00F43C5C"/>
    <w:rsid w:val="00F71C8F"/>
    <w:rsid w:val="00FE57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5E72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D33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
    <w:next w:val="Normal"/>
    <w:link w:val="Ttulo2Char"/>
    <w:uiPriority w:val="9"/>
    <w:unhideWhenUsed/>
    <w:qFormat/>
    <w:rsid w:val="003D33FC"/>
    <w:pPr>
      <w:keepNext w:val="0"/>
      <w:keepLines w:val="0"/>
      <w:spacing w:before="0" w:line="360" w:lineRule="auto"/>
      <w:jc w:val="both"/>
      <w:outlineLvl w:val="1"/>
    </w:pPr>
    <w:rPr>
      <w:rFonts w:ascii="Times New Roman" w:eastAsiaTheme="minorHAnsi" w:hAnsi="Times New Roman" w:cs="Arial"/>
      <w:b/>
      <w:color w:val="auto"/>
      <w:sz w:val="24"/>
      <w:szCs w:val="22"/>
    </w:rPr>
  </w:style>
  <w:style w:type="paragraph" w:styleId="Ttulo3">
    <w:name w:val="heading 3"/>
    <w:basedOn w:val="Ttulo2"/>
    <w:next w:val="Normal"/>
    <w:link w:val="Ttulo3Char"/>
    <w:uiPriority w:val="9"/>
    <w:unhideWhenUsed/>
    <w:qFormat/>
    <w:rsid w:val="003D33FC"/>
    <w:pPr>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unhideWhenUsed/>
    <w:rsid w:val="005F73A6"/>
    <w:pPr>
      <w:spacing w:before="120" w:after="120" w:line="240" w:lineRule="auto"/>
      <w:ind w:firstLine="709"/>
    </w:pPr>
    <w:rPr>
      <w:rFonts w:ascii="Times New Roman" w:hAnsi="Times New Roman" w:cstheme="minorHAnsi"/>
      <w:bCs/>
      <w:caps/>
      <w:sz w:val="24"/>
      <w:szCs w:val="20"/>
    </w:rPr>
  </w:style>
  <w:style w:type="paragraph" w:styleId="Sumrio2">
    <w:name w:val="toc 2"/>
    <w:basedOn w:val="Normal"/>
    <w:next w:val="Normal"/>
    <w:autoRedefine/>
    <w:uiPriority w:val="39"/>
    <w:unhideWhenUsed/>
    <w:rsid w:val="005F73A6"/>
    <w:pPr>
      <w:spacing w:after="0" w:line="240" w:lineRule="auto"/>
      <w:ind w:left="240" w:firstLine="709"/>
    </w:pPr>
    <w:rPr>
      <w:rFonts w:ascii="Times New Roman" w:hAnsi="Times New Roman" w:cs="Times New Roman"/>
      <w:smallCaps/>
      <w:sz w:val="24"/>
      <w:szCs w:val="24"/>
    </w:rPr>
  </w:style>
  <w:style w:type="paragraph" w:styleId="Cabealho">
    <w:name w:val="header"/>
    <w:basedOn w:val="Normal"/>
    <w:link w:val="CabealhoChar"/>
    <w:uiPriority w:val="99"/>
    <w:unhideWhenUsed/>
    <w:rsid w:val="00DC7BA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C7BAA"/>
  </w:style>
  <w:style w:type="paragraph" w:styleId="Rodap">
    <w:name w:val="footer"/>
    <w:basedOn w:val="Normal"/>
    <w:link w:val="RodapChar"/>
    <w:uiPriority w:val="99"/>
    <w:unhideWhenUsed/>
    <w:rsid w:val="00DC7BAA"/>
    <w:pPr>
      <w:tabs>
        <w:tab w:val="center" w:pos="4252"/>
        <w:tab w:val="right" w:pos="8504"/>
      </w:tabs>
      <w:spacing w:after="0" w:line="240" w:lineRule="auto"/>
    </w:pPr>
  </w:style>
  <w:style w:type="character" w:customStyle="1" w:styleId="RodapChar">
    <w:name w:val="Rodapé Char"/>
    <w:basedOn w:val="Fontepargpadro"/>
    <w:link w:val="Rodap"/>
    <w:uiPriority w:val="99"/>
    <w:rsid w:val="00DC7BAA"/>
  </w:style>
  <w:style w:type="paragraph" w:styleId="PargrafodaLista">
    <w:name w:val="List Paragraph"/>
    <w:basedOn w:val="Normal"/>
    <w:uiPriority w:val="34"/>
    <w:qFormat/>
    <w:rsid w:val="00DC7BAA"/>
    <w:pPr>
      <w:ind w:left="720"/>
      <w:contextualSpacing/>
    </w:pPr>
  </w:style>
  <w:style w:type="character" w:customStyle="1" w:styleId="Ttulo2Char">
    <w:name w:val="Título 2 Char"/>
    <w:basedOn w:val="Fontepargpadro"/>
    <w:link w:val="Ttulo2"/>
    <w:uiPriority w:val="9"/>
    <w:rsid w:val="003D33FC"/>
    <w:rPr>
      <w:rFonts w:ascii="Times New Roman" w:hAnsi="Times New Roman" w:cs="Arial"/>
      <w:b/>
      <w:sz w:val="24"/>
    </w:rPr>
  </w:style>
  <w:style w:type="character" w:customStyle="1" w:styleId="Ttulo3Char">
    <w:name w:val="Título 3 Char"/>
    <w:basedOn w:val="Fontepargpadro"/>
    <w:link w:val="Ttulo3"/>
    <w:uiPriority w:val="9"/>
    <w:rsid w:val="003D33FC"/>
    <w:rPr>
      <w:rFonts w:ascii="Times New Roman" w:hAnsi="Times New Roman" w:cs="Arial"/>
      <w:b/>
      <w:sz w:val="24"/>
    </w:rPr>
  </w:style>
  <w:style w:type="paragraph" w:styleId="Citao">
    <w:name w:val="Quote"/>
    <w:basedOn w:val="Normal"/>
    <w:next w:val="Normal"/>
    <w:link w:val="CitaoChar"/>
    <w:uiPriority w:val="29"/>
    <w:qFormat/>
    <w:rsid w:val="003D33FC"/>
    <w:pPr>
      <w:spacing w:after="0" w:line="240" w:lineRule="auto"/>
      <w:ind w:left="1134"/>
      <w:jc w:val="both"/>
    </w:pPr>
    <w:rPr>
      <w:rFonts w:ascii="Times New Roman" w:hAnsi="Times New Roman" w:cs="Times New Roman"/>
      <w:sz w:val="20"/>
      <w:szCs w:val="20"/>
    </w:rPr>
  </w:style>
  <w:style w:type="character" w:customStyle="1" w:styleId="CitaoChar">
    <w:name w:val="Citação Char"/>
    <w:basedOn w:val="Fontepargpadro"/>
    <w:link w:val="Citao"/>
    <w:uiPriority w:val="29"/>
    <w:rsid w:val="003D33FC"/>
    <w:rPr>
      <w:rFonts w:ascii="Times New Roman" w:hAnsi="Times New Roman" w:cs="Times New Roman"/>
      <w:sz w:val="20"/>
      <w:szCs w:val="20"/>
    </w:rPr>
  </w:style>
  <w:style w:type="character" w:customStyle="1" w:styleId="Ttulo1Char">
    <w:name w:val="Título 1 Char"/>
    <w:basedOn w:val="Fontepargpadro"/>
    <w:link w:val="Ttulo1"/>
    <w:uiPriority w:val="9"/>
    <w:rsid w:val="003D33FC"/>
    <w:rPr>
      <w:rFonts w:asciiTheme="majorHAnsi" w:eastAsiaTheme="majorEastAsia" w:hAnsiTheme="majorHAnsi" w:cstheme="majorBidi"/>
      <w:color w:val="2F5496" w:themeColor="accent1" w:themeShade="BF"/>
      <w:sz w:val="32"/>
      <w:szCs w:val="32"/>
    </w:rPr>
  </w:style>
  <w:style w:type="paragraph" w:styleId="Legenda">
    <w:name w:val="caption"/>
    <w:basedOn w:val="Normal"/>
    <w:next w:val="Normal"/>
    <w:uiPriority w:val="35"/>
    <w:unhideWhenUsed/>
    <w:qFormat/>
    <w:rsid w:val="0080122A"/>
    <w:pPr>
      <w:keepNext/>
      <w:spacing w:after="240" w:line="240" w:lineRule="auto"/>
      <w:jc w:val="both"/>
    </w:pPr>
    <w:rPr>
      <w:rFonts w:ascii="Times New Roman" w:hAnsi="Times New Roman" w:cs="Times New Roman"/>
      <w:b/>
      <w:iCs/>
      <w:caps/>
      <w:color w:val="000000" w:themeColor="text1"/>
      <w:sz w:val="24"/>
      <w:szCs w:val="24"/>
    </w:rPr>
  </w:style>
  <w:style w:type="table" w:customStyle="1" w:styleId="TabeladeGrade1Clara2">
    <w:name w:val="Tabela de Grade 1 Clara2"/>
    <w:basedOn w:val="Tabelanormal"/>
    <w:uiPriority w:val="46"/>
    <w:rsid w:val="0080122A"/>
    <w:pPr>
      <w:spacing w:after="0" w:line="240" w:lineRule="auto"/>
    </w:pPr>
    <w:rPr>
      <w:rFonts w:ascii="Arial" w:hAnsi="Arial"/>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deGrade1Clara3">
    <w:name w:val="Tabela de Grade 1 Clara3"/>
    <w:basedOn w:val="Tabelanormal"/>
    <w:uiPriority w:val="46"/>
    <w:rsid w:val="00C773A6"/>
    <w:pPr>
      <w:spacing w:after="0" w:line="240" w:lineRule="auto"/>
    </w:pPr>
    <w:rPr>
      <w:rFonts w:ascii="Arial" w:hAnsi="Arial"/>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48821-2C02-472C-87EE-A6B9AC38C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18011</Words>
  <Characters>97261</Characters>
  <Application>Microsoft Office Word</Application>
  <DocSecurity>0</DocSecurity>
  <Lines>810</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2019-09-06T19:40:00Z</dcterms:created>
  <dcterms:modified xsi:type="dcterms:W3CDTF">2019-09-06T19:40:00Z</dcterms:modified>
</cp:coreProperties>
</file>