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drawings/drawing2.xml" ContentType="application/vnd.openxmlformats-officedocument.drawingml.chartshape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9AB" w:rsidRDefault="00BE2420">
      <w:r w:rsidRPr="00BE2420">
        <w:rPr>
          <w:noProof/>
          <w:lang w:eastAsia="pt-BR"/>
        </w:rPr>
        <w:drawing>
          <wp:inline distT="0" distB="0" distL="0" distR="0">
            <wp:extent cx="5400040" cy="3266419"/>
            <wp:effectExtent l="19050" t="0" r="10160" b="0"/>
            <wp:docPr id="2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2D2839" w:rsidRDefault="002D2839" w:rsidP="002D28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839">
        <w:rPr>
          <w:rFonts w:ascii="Times New Roman" w:hAnsi="Times New Roman" w:cs="Times New Roman"/>
          <w:sz w:val="24"/>
          <w:szCs w:val="24"/>
        </w:rPr>
        <w:t xml:space="preserve">Figura 1. Resultados das análises de </w:t>
      </w:r>
      <w:proofErr w:type="spellStart"/>
      <w:r w:rsidRPr="002D2839">
        <w:rPr>
          <w:rFonts w:ascii="Times New Roman" w:hAnsi="Times New Roman" w:cs="Times New Roman"/>
          <w:sz w:val="24"/>
          <w:szCs w:val="24"/>
        </w:rPr>
        <w:t>brix</w:t>
      </w:r>
      <w:proofErr w:type="spellEnd"/>
      <w:r w:rsidRPr="002D2839">
        <w:rPr>
          <w:rFonts w:ascii="Times New Roman" w:hAnsi="Times New Roman" w:cs="Times New Roman"/>
          <w:sz w:val="24"/>
          <w:szCs w:val="24"/>
        </w:rPr>
        <w:t xml:space="preserve"> a campo, antes e após a aplicação do </w:t>
      </w:r>
      <w:proofErr w:type="spellStart"/>
      <w:r w:rsidRPr="002D2839">
        <w:rPr>
          <w:rFonts w:ascii="Times New Roman" w:hAnsi="Times New Roman" w:cs="Times New Roman"/>
          <w:sz w:val="24"/>
          <w:szCs w:val="24"/>
        </w:rPr>
        <w:t>glifosato</w:t>
      </w:r>
      <w:proofErr w:type="spellEnd"/>
      <w:r w:rsidRPr="002D2839">
        <w:rPr>
          <w:rFonts w:ascii="Times New Roman" w:hAnsi="Times New Roman" w:cs="Times New Roman"/>
          <w:sz w:val="24"/>
          <w:szCs w:val="24"/>
        </w:rPr>
        <w:t xml:space="preserve"> como </w:t>
      </w:r>
      <w:proofErr w:type="spellStart"/>
      <w:r w:rsidRPr="002D2839">
        <w:rPr>
          <w:rFonts w:ascii="Times New Roman" w:hAnsi="Times New Roman" w:cs="Times New Roman"/>
          <w:sz w:val="24"/>
          <w:szCs w:val="24"/>
        </w:rPr>
        <w:t>maturador</w:t>
      </w:r>
      <w:proofErr w:type="spellEnd"/>
      <w:r w:rsidRPr="002D2839">
        <w:rPr>
          <w:rFonts w:ascii="Times New Roman" w:hAnsi="Times New Roman" w:cs="Times New Roman"/>
          <w:sz w:val="24"/>
          <w:szCs w:val="24"/>
        </w:rPr>
        <w:t>.</w:t>
      </w:r>
    </w:p>
    <w:p w:rsidR="00133DAF" w:rsidRDefault="00133DAF" w:rsidP="002D28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3DAF" w:rsidRDefault="00133DAF" w:rsidP="002D28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3DAF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400040" cy="3266419"/>
            <wp:effectExtent l="19050" t="0" r="10160" b="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133DAF" w:rsidRPr="00133DAF" w:rsidRDefault="00133DAF" w:rsidP="002D28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133DAF">
        <w:rPr>
          <w:rFonts w:ascii="Times New Roman" w:hAnsi="Times New Roman" w:cs="Times New Roman"/>
          <w:sz w:val="24"/>
          <w:szCs w:val="24"/>
          <w:lang w:val="en-US"/>
        </w:rPr>
        <w:t>Figure 1.</w:t>
      </w:r>
      <w:proofErr w:type="gramEnd"/>
      <w:r w:rsidRPr="00133D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r</w:t>
      </w:r>
      <w:r w:rsidRPr="00133DAF">
        <w:rPr>
          <w:rFonts w:ascii="Times New Roman" w:hAnsi="Times New Roman" w:cs="Times New Roman"/>
          <w:sz w:val="24"/>
          <w:szCs w:val="24"/>
          <w:lang w:val="en-US"/>
        </w:rPr>
        <w:t xml:space="preserve">esults of the </w:t>
      </w:r>
      <w:proofErr w:type="spellStart"/>
      <w:r w:rsidRPr="00133DAF">
        <w:rPr>
          <w:rFonts w:ascii="Times New Roman" w:hAnsi="Times New Roman" w:cs="Times New Roman"/>
          <w:sz w:val="24"/>
          <w:szCs w:val="24"/>
          <w:lang w:val="en-US"/>
        </w:rPr>
        <w:t>brix</w:t>
      </w:r>
      <w:r>
        <w:rPr>
          <w:rFonts w:ascii="Times New Roman" w:hAnsi="Times New Roman" w:cs="Times New Roman"/>
          <w:sz w:val="24"/>
          <w:szCs w:val="24"/>
          <w:lang w:val="en-US"/>
        </w:rPr>
        <w:t>’s</w:t>
      </w:r>
      <w:proofErr w:type="spellEnd"/>
      <w:r w:rsidRPr="00133DAF">
        <w:rPr>
          <w:rFonts w:ascii="Times New Roman" w:hAnsi="Times New Roman" w:cs="Times New Roman"/>
          <w:sz w:val="24"/>
          <w:szCs w:val="24"/>
          <w:lang w:val="en-US"/>
        </w:rPr>
        <w:t xml:space="preserve"> analysis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33DAF">
        <w:rPr>
          <w:rFonts w:ascii="Times New Roman" w:hAnsi="Times New Roman" w:cs="Times New Roman"/>
          <w:sz w:val="24"/>
          <w:szCs w:val="24"/>
          <w:lang w:val="en-US"/>
        </w:rPr>
        <w:t xml:space="preserve"> before and after </w:t>
      </w:r>
      <w:proofErr w:type="spellStart"/>
      <w:r w:rsidRPr="00133DAF">
        <w:rPr>
          <w:rFonts w:ascii="Times New Roman" w:hAnsi="Times New Roman" w:cs="Times New Roman"/>
          <w:sz w:val="24"/>
          <w:szCs w:val="24"/>
          <w:lang w:val="en-US"/>
        </w:rPr>
        <w:t>glyphosate</w:t>
      </w:r>
      <w:r>
        <w:rPr>
          <w:rFonts w:ascii="Times New Roman" w:hAnsi="Times New Roman" w:cs="Times New Roman"/>
          <w:sz w:val="24"/>
          <w:szCs w:val="24"/>
          <w:lang w:val="en-US"/>
        </w:rPr>
        <w:t>’s</w:t>
      </w:r>
      <w:proofErr w:type="spellEnd"/>
      <w:r w:rsidRPr="00133D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133DAF">
        <w:rPr>
          <w:rFonts w:ascii="Times New Roman" w:hAnsi="Times New Roman" w:cs="Times New Roman"/>
          <w:sz w:val="24"/>
          <w:szCs w:val="24"/>
          <w:lang w:val="en-US"/>
        </w:rPr>
        <w:t>application  as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ripener</w:t>
      </w:r>
      <w:proofErr w:type="spellEnd"/>
      <w:r w:rsidR="00BE242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D2839" w:rsidRPr="00133DAF" w:rsidRDefault="002D2839" w:rsidP="002D28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E2420" w:rsidRPr="00BE2420" w:rsidRDefault="00BE2420" w:rsidP="00BE242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420">
        <w:rPr>
          <w:rFonts w:ascii="Times New Roman" w:hAnsi="Times New Roman" w:cs="Times New Roman"/>
          <w:sz w:val="24"/>
          <w:szCs w:val="24"/>
        </w:rPr>
        <w:lastRenderedPageBreak/>
        <w:t xml:space="preserve">Tabela 1. Caracterização química do solo da </w:t>
      </w:r>
      <w:proofErr w:type="spellStart"/>
      <w:r w:rsidRPr="00BE2420">
        <w:rPr>
          <w:rFonts w:ascii="Times New Roman" w:hAnsi="Times New Roman" w:cs="Times New Roman"/>
          <w:sz w:val="24"/>
          <w:szCs w:val="24"/>
        </w:rPr>
        <w:t>area</w:t>
      </w:r>
      <w:proofErr w:type="spellEnd"/>
      <w:r w:rsidRPr="00BE2420">
        <w:rPr>
          <w:rFonts w:ascii="Times New Roman" w:hAnsi="Times New Roman" w:cs="Times New Roman"/>
          <w:sz w:val="24"/>
          <w:szCs w:val="24"/>
        </w:rPr>
        <w:t xml:space="preserve"> experimental antes da instala</w:t>
      </w:r>
      <w:r>
        <w:rPr>
          <w:rFonts w:ascii="Times New Roman" w:hAnsi="Times New Roman" w:cs="Times New Roman"/>
          <w:sz w:val="24"/>
          <w:szCs w:val="24"/>
        </w:rPr>
        <w:t>ção</w:t>
      </w:r>
      <w:r w:rsidRPr="00BE2420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03"/>
        <w:gridCol w:w="769"/>
        <w:gridCol w:w="766"/>
        <w:gridCol w:w="610"/>
        <w:gridCol w:w="539"/>
        <w:gridCol w:w="583"/>
        <w:gridCol w:w="766"/>
        <w:gridCol w:w="1046"/>
        <w:gridCol w:w="595"/>
        <w:gridCol w:w="742"/>
        <w:gridCol w:w="716"/>
        <w:gridCol w:w="709"/>
      </w:tblGrid>
      <w:tr w:rsidR="00BE2420" w:rsidRPr="00FB1546" w:rsidTr="00BA75F6">
        <w:trPr>
          <w:trHeight w:val="270"/>
        </w:trPr>
        <w:tc>
          <w:tcPr>
            <w:tcW w:w="464" w:type="pct"/>
            <w:shd w:val="clear" w:color="auto" w:fill="auto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pH</w:t>
            </w:r>
          </w:p>
        </w:tc>
        <w:tc>
          <w:tcPr>
            <w:tcW w:w="445" w:type="pct"/>
            <w:shd w:val="clear" w:color="auto" w:fill="auto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</w:t>
            </w:r>
            <w:r w:rsidRPr="00FB15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O</w:t>
            </w:r>
            <w:r w:rsidRPr="00FB15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.</w:t>
            </w:r>
          </w:p>
        </w:tc>
        <w:tc>
          <w:tcPr>
            <w:tcW w:w="443" w:type="pct"/>
            <w:shd w:val="clear" w:color="auto" w:fill="auto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K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Ca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_tradnl"/>
              </w:rPr>
              <w:t>Mg</w:t>
            </w: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_tradnl"/>
              </w:rPr>
              <w:t>Al+3</w:t>
            </w:r>
          </w:p>
        </w:tc>
        <w:tc>
          <w:tcPr>
            <w:tcW w:w="6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FB15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_tradnl"/>
              </w:rPr>
              <w:t>H+Al</w:t>
            </w:r>
            <w:proofErr w:type="spellEnd"/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_tradnl"/>
              </w:rPr>
              <w:t>SB</w:t>
            </w:r>
          </w:p>
        </w:tc>
        <w:tc>
          <w:tcPr>
            <w:tcW w:w="4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_tradnl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_tradnl"/>
              </w:rPr>
              <w:t>T</w:t>
            </w:r>
            <w:r w:rsidRPr="00FB15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_tradnl"/>
              </w:rPr>
              <w:t>C</w:t>
            </w:r>
          </w:p>
        </w:tc>
        <w:tc>
          <w:tcPr>
            <w:tcW w:w="414" w:type="pct"/>
            <w:shd w:val="clear" w:color="auto" w:fill="auto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_tradnl"/>
              </w:rPr>
              <w:t>M</w:t>
            </w:r>
            <w:r w:rsidRPr="00FB15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_tradnl"/>
              </w:rPr>
              <w:t>%</w:t>
            </w:r>
          </w:p>
        </w:tc>
        <w:tc>
          <w:tcPr>
            <w:tcW w:w="410" w:type="pct"/>
            <w:shd w:val="clear" w:color="auto" w:fill="auto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_tradnl"/>
              </w:rPr>
              <w:t>V</w:t>
            </w:r>
            <w:r w:rsidRPr="00FB15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_tradnl"/>
              </w:rPr>
              <w:t>%</w:t>
            </w:r>
          </w:p>
        </w:tc>
      </w:tr>
      <w:tr w:rsidR="00BE2420" w:rsidRPr="00FB1546" w:rsidTr="00BA75F6">
        <w:trPr>
          <w:cantSplit/>
          <w:trHeight w:val="270"/>
        </w:trPr>
        <w:tc>
          <w:tcPr>
            <w:tcW w:w="464" w:type="pct"/>
            <w:tcBorders>
              <w:bottom w:val="single" w:sz="4" w:space="0" w:color="auto"/>
            </w:tcBorders>
            <w:shd w:val="clear" w:color="auto" w:fill="auto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CaCl</w:t>
            </w:r>
            <w:r w:rsidRPr="00FB1546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s-ES_tradnl"/>
              </w:rPr>
              <w:t>2</w:t>
            </w:r>
          </w:p>
        </w:tc>
        <w:tc>
          <w:tcPr>
            <w:tcW w:w="445" w:type="pct"/>
            <w:tcBorders>
              <w:bottom w:val="single" w:sz="4" w:space="0" w:color="auto"/>
            </w:tcBorders>
            <w:shd w:val="clear" w:color="auto" w:fill="auto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 dm</w:t>
            </w:r>
            <w:r w:rsidRPr="00FB1546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-3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auto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mg dm</w:t>
            </w:r>
            <w:r w:rsidRPr="00FB1546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-3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                                        </w:t>
            </w:r>
            <w:proofErr w:type="spellStart"/>
            <w:r w:rsidRPr="00FB15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mmol</w:t>
            </w:r>
            <w:r w:rsidRPr="00FB1546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c</w:t>
            </w:r>
            <w:proofErr w:type="spellEnd"/>
            <w:r w:rsidRPr="00FB15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dm</w:t>
            </w:r>
            <w:r w:rsidRPr="00FB1546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-3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2420" w:rsidRPr="00FB1546" w:rsidRDefault="00BE2420" w:rsidP="00BA75F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pct"/>
            <w:tcBorders>
              <w:bottom w:val="single" w:sz="4" w:space="0" w:color="auto"/>
            </w:tcBorders>
            <w:shd w:val="clear" w:color="auto" w:fill="auto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2420" w:rsidRPr="00FB1546" w:rsidTr="00BA75F6">
        <w:trPr>
          <w:trHeight w:val="270"/>
        </w:trPr>
        <w:tc>
          <w:tcPr>
            <w:tcW w:w="4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</w:rPr>
              <w:t>5,4</w:t>
            </w:r>
          </w:p>
        </w:tc>
        <w:tc>
          <w:tcPr>
            <w:tcW w:w="4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</w:rPr>
              <w:t>2,3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E2420" w:rsidRPr="00FB1546" w:rsidRDefault="00BE2420" w:rsidP="00BA75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</w:tr>
    </w:tbl>
    <w:p w:rsidR="00BE2420" w:rsidRDefault="00BE2420" w:rsidP="00BE24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1546" w:rsidRPr="00CE5751" w:rsidRDefault="00FB1546" w:rsidP="00FB154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B1546">
        <w:rPr>
          <w:rFonts w:ascii="Times New Roman" w:hAnsi="Times New Roman" w:cs="Times New Roman"/>
          <w:sz w:val="24"/>
          <w:szCs w:val="24"/>
        </w:rPr>
        <w:t>Tabl</w:t>
      </w:r>
      <w:r w:rsidR="00BE2420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FB1546">
        <w:rPr>
          <w:rFonts w:ascii="Times New Roman" w:hAnsi="Times New Roman" w:cs="Times New Roman"/>
          <w:sz w:val="24"/>
          <w:szCs w:val="24"/>
        </w:rPr>
        <w:t xml:space="preserve"> 1. </w:t>
      </w:r>
      <w:proofErr w:type="gramStart"/>
      <w:r w:rsidR="00CE5751" w:rsidRPr="00CE5751">
        <w:rPr>
          <w:rFonts w:ascii="Times New Roman" w:hAnsi="Times New Roman" w:cs="Times New Roman"/>
          <w:sz w:val="24"/>
          <w:szCs w:val="24"/>
          <w:lang w:val="en-US"/>
        </w:rPr>
        <w:t>Chemical characterization</w:t>
      </w:r>
      <w:r w:rsidRPr="00CE57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E5751" w:rsidRPr="00CE5751">
        <w:rPr>
          <w:rFonts w:ascii="Times New Roman" w:hAnsi="Times New Roman" w:cs="Times New Roman"/>
          <w:sz w:val="24"/>
          <w:szCs w:val="24"/>
          <w:lang w:val="en-US"/>
        </w:rPr>
        <w:t>of the</w:t>
      </w:r>
      <w:r w:rsidRPr="00CE57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E5751" w:rsidRPr="00CE5751">
        <w:rPr>
          <w:rFonts w:ascii="Times New Roman" w:hAnsi="Times New Roman" w:cs="Times New Roman"/>
          <w:sz w:val="24"/>
          <w:szCs w:val="24"/>
          <w:lang w:val="en-US"/>
        </w:rPr>
        <w:t xml:space="preserve">experimental </w:t>
      </w:r>
      <w:r w:rsidRPr="00CE5751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="00CE5751" w:rsidRPr="00CE5751">
        <w:rPr>
          <w:rFonts w:ascii="Times New Roman" w:hAnsi="Times New Roman" w:cs="Times New Roman"/>
          <w:sz w:val="24"/>
          <w:szCs w:val="24"/>
          <w:lang w:val="en-US"/>
        </w:rPr>
        <w:t>il</w:t>
      </w:r>
      <w:r w:rsidRPr="00CE57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E5751" w:rsidRPr="00CE5751">
        <w:rPr>
          <w:rFonts w:ascii="Times New Roman" w:hAnsi="Times New Roman" w:cs="Times New Roman"/>
          <w:sz w:val="24"/>
          <w:szCs w:val="24"/>
          <w:lang w:val="en-US"/>
        </w:rPr>
        <w:t>before in</w:t>
      </w:r>
      <w:r w:rsidR="00CE5751">
        <w:rPr>
          <w:rFonts w:ascii="Times New Roman" w:hAnsi="Times New Roman" w:cs="Times New Roman"/>
          <w:sz w:val="24"/>
          <w:szCs w:val="24"/>
          <w:lang w:val="en-US"/>
        </w:rPr>
        <w:t>stallation</w:t>
      </w:r>
      <w:r w:rsidRPr="00CE5751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03"/>
        <w:gridCol w:w="769"/>
        <w:gridCol w:w="766"/>
        <w:gridCol w:w="610"/>
        <w:gridCol w:w="539"/>
        <w:gridCol w:w="583"/>
        <w:gridCol w:w="766"/>
        <w:gridCol w:w="1046"/>
        <w:gridCol w:w="595"/>
        <w:gridCol w:w="742"/>
        <w:gridCol w:w="716"/>
        <w:gridCol w:w="709"/>
      </w:tblGrid>
      <w:tr w:rsidR="00FB1546" w:rsidRPr="00FB1546" w:rsidTr="00C2112A">
        <w:trPr>
          <w:trHeight w:val="270"/>
        </w:trPr>
        <w:tc>
          <w:tcPr>
            <w:tcW w:w="464" w:type="pct"/>
            <w:shd w:val="clear" w:color="auto" w:fill="auto"/>
          </w:tcPr>
          <w:p w:rsidR="00FB1546" w:rsidRPr="00FB1546" w:rsidRDefault="00FB1546" w:rsidP="00C2112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pH</w:t>
            </w:r>
          </w:p>
        </w:tc>
        <w:tc>
          <w:tcPr>
            <w:tcW w:w="445" w:type="pct"/>
            <w:shd w:val="clear" w:color="auto" w:fill="auto"/>
          </w:tcPr>
          <w:p w:rsidR="00FB1546" w:rsidRPr="00FB1546" w:rsidRDefault="00FA78DE" w:rsidP="00FA78D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O</w:t>
            </w:r>
            <w:r w:rsidR="00FB1546" w:rsidRPr="00FB15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</w:t>
            </w:r>
            <w:r w:rsidR="00FB1546" w:rsidRPr="00FB15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.</w:t>
            </w:r>
          </w:p>
        </w:tc>
        <w:tc>
          <w:tcPr>
            <w:tcW w:w="443" w:type="pct"/>
            <w:shd w:val="clear" w:color="auto" w:fill="auto"/>
          </w:tcPr>
          <w:p w:rsidR="00FB1546" w:rsidRPr="00FB1546" w:rsidRDefault="00FB1546" w:rsidP="00FA78D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546" w:rsidRPr="00FB1546" w:rsidRDefault="00FB1546" w:rsidP="00C2112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K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546" w:rsidRPr="00FB1546" w:rsidRDefault="00FB1546" w:rsidP="00C2112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Ca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546" w:rsidRPr="00FB1546" w:rsidRDefault="00FB1546" w:rsidP="00C2112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_tradnl"/>
              </w:rPr>
              <w:t>Mg</w:t>
            </w: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546" w:rsidRPr="00FB1546" w:rsidRDefault="00FB1546" w:rsidP="00C2112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_tradnl"/>
              </w:rPr>
              <w:t>Al+3</w:t>
            </w:r>
          </w:p>
        </w:tc>
        <w:tc>
          <w:tcPr>
            <w:tcW w:w="6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546" w:rsidRPr="00FB1546" w:rsidRDefault="00FB1546" w:rsidP="00C2112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FB15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_tradnl"/>
              </w:rPr>
              <w:t>H+Al</w:t>
            </w:r>
            <w:proofErr w:type="spellEnd"/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546" w:rsidRPr="00FB1546" w:rsidRDefault="006912B4" w:rsidP="006912B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_tradnl"/>
              </w:rPr>
              <w:t>S</w:t>
            </w:r>
            <w:r w:rsidR="00FB345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_tradnl"/>
              </w:rPr>
              <w:t>B</w:t>
            </w:r>
          </w:p>
        </w:tc>
        <w:tc>
          <w:tcPr>
            <w:tcW w:w="4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546" w:rsidRPr="00FB1546" w:rsidRDefault="00FB1546" w:rsidP="006912B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_tradnl"/>
              </w:rPr>
              <w:t>C</w:t>
            </w:r>
            <w:r w:rsidR="006912B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_tradnl"/>
              </w:rPr>
              <w:t>E</w:t>
            </w:r>
            <w:r w:rsidRPr="00FB15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_tradnl"/>
              </w:rPr>
              <w:t>C</w:t>
            </w:r>
          </w:p>
        </w:tc>
        <w:tc>
          <w:tcPr>
            <w:tcW w:w="414" w:type="pct"/>
            <w:shd w:val="clear" w:color="auto" w:fill="auto"/>
          </w:tcPr>
          <w:p w:rsidR="00FB1546" w:rsidRPr="00FB1546" w:rsidRDefault="00CE5751" w:rsidP="00C2112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_tradnl"/>
              </w:rPr>
              <w:t>m</w:t>
            </w:r>
            <w:r w:rsidR="00FB1546" w:rsidRPr="00FB15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_tradnl"/>
              </w:rPr>
              <w:t>%</w:t>
            </w:r>
          </w:p>
        </w:tc>
        <w:tc>
          <w:tcPr>
            <w:tcW w:w="410" w:type="pct"/>
            <w:shd w:val="clear" w:color="auto" w:fill="auto"/>
          </w:tcPr>
          <w:p w:rsidR="00FB1546" w:rsidRPr="00FB1546" w:rsidRDefault="00FA78DE" w:rsidP="00C2112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_tradnl"/>
              </w:rPr>
              <w:t>V</w:t>
            </w:r>
            <w:r w:rsidR="00FB1546" w:rsidRPr="00FB15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_tradnl"/>
              </w:rPr>
              <w:t>%</w:t>
            </w:r>
          </w:p>
        </w:tc>
      </w:tr>
      <w:tr w:rsidR="00FB1546" w:rsidRPr="00FB1546" w:rsidTr="00C2112A">
        <w:trPr>
          <w:cantSplit/>
          <w:trHeight w:val="270"/>
        </w:trPr>
        <w:tc>
          <w:tcPr>
            <w:tcW w:w="464" w:type="pct"/>
            <w:tcBorders>
              <w:bottom w:val="single" w:sz="4" w:space="0" w:color="auto"/>
            </w:tcBorders>
            <w:shd w:val="clear" w:color="auto" w:fill="auto"/>
          </w:tcPr>
          <w:p w:rsidR="00FB1546" w:rsidRPr="00FB1546" w:rsidRDefault="00FB1546" w:rsidP="00C21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>CaCl</w:t>
            </w:r>
            <w:r w:rsidRPr="00FB1546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s-ES_tradnl"/>
              </w:rPr>
              <w:t>2</w:t>
            </w:r>
          </w:p>
        </w:tc>
        <w:tc>
          <w:tcPr>
            <w:tcW w:w="445" w:type="pct"/>
            <w:tcBorders>
              <w:bottom w:val="single" w:sz="4" w:space="0" w:color="auto"/>
            </w:tcBorders>
            <w:shd w:val="clear" w:color="auto" w:fill="auto"/>
          </w:tcPr>
          <w:p w:rsidR="00FB1546" w:rsidRPr="00FB1546" w:rsidRDefault="00FB1546" w:rsidP="00C21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 dm</w:t>
            </w:r>
            <w:r w:rsidRPr="00FB1546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-3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auto"/>
          </w:tcPr>
          <w:p w:rsidR="00FB1546" w:rsidRPr="00FB1546" w:rsidRDefault="00FB1546" w:rsidP="00C21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mg dm</w:t>
            </w:r>
            <w:r w:rsidRPr="00FB1546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-3</w:t>
            </w:r>
          </w:p>
        </w:tc>
        <w:tc>
          <w:tcPr>
            <w:tcW w:w="205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546" w:rsidRPr="00FB1546" w:rsidRDefault="00FB1546" w:rsidP="00C21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                                        </w:t>
            </w:r>
            <w:proofErr w:type="spellStart"/>
            <w:r w:rsidRPr="00FB15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mmol</w:t>
            </w:r>
            <w:r w:rsidRPr="00FB1546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c</w:t>
            </w:r>
            <w:proofErr w:type="spellEnd"/>
            <w:r w:rsidRPr="00FB15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dm</w:t>
            </w:r>
            <w:r w:rsidRPr="00FB1546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-3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546" w:rsidRPr="00FB1546" w:rsidRDefault="00FB1546" w:rsidP="00C2112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pct"/>
            <w:tcBorders>
              <w:bottom w:val="single" w:sz="4" w:space="0" w:color="auto"/>
            </w:tcBorders>
            <w:shd w:val="clear" w:color="auto" w:fill="auto"/>
          </w:tcPr>
          <w:p w:rsidR="00FB1546" w:rsidRPr="00FB1546" w:rsidRDefault="00FB1546" w:rsidP="00C21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</w:tcPr>
          <w:p w:rsidR="00FB1546" w:rsidRPr="00FB1546" w:rsidRDefault="00FB1546" w:rsidP="00C21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1546" w:rsidRPr="00FB1546" w:rsidTr="00C2112A">
        <w:trPr>
          <w:trHeight w:val="270"/>
        </w:trPr>
        <w:tc>
          <w:tcPr>
            <w:tcW w:w="4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B1546" w:rsidRPr="00FB1546" w:rsidRDefault="00FB1546" w:rsidP="00C21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</w:rPr>
              <w:t>5,4</w:t>
            </w:r>
          </w:p>
        </w:tc>
        <w:tc>
          <w:tcPr>
            <w:tcW w:w="4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B1546" w:rsidRPr="00FB1546" w:rsidRDefault="00FB1546" w:rsidP="00C21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B1546" w:rsidRPr="00FB1546" w:rsidRDefault="00FB1546" w:rsidP="00C21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B1546" w:rsidRPr="00FB1546" w:rsidRDefault="00FB1546" w:rsidP="00C21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</w:rPr>
              <w:t>2,3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B1546" w:rsidRPr="00FB1546" w:rsidRDefault="00FB1546" w:rsidP="00C21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B1546" w:rsidRPr="00FB1546" w:rsidRDefault="00FB1546" w:rsidP="00C21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B1546" w:rsidRPr="00FB1546" w:rsidRDefault="00FB1546" w:rsidP="00C21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B1546" w:rsidRPr="00FB1546" w:rsidRDefault="00FB1546" w:rsidP="00C21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B1546" w:rsidRPr="00FB1546" w:rsidRDefault="00FB1546" w:rsidP="00C21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B1546" w:rsidRPr="00FB1546" w:rsidRDefault="00FB1546" w:rsidP="00C21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B1546" w:rsidRPr="00FB1546" w:rsidRDefault="00FB1546" w:rsidP="00C21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B1546" w:rsidRPr="00FB1546" w:rsidRDefault="00FB1546" w:rsidP="00C21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546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</w:tr>
    </w:tbl>
    <w:p w:rsidR="00FB1546" w:rsidRDefault="00FB1546" w:rsidP="002D28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2420" w:rsidRDefault="00BE2420" w:rsidP="002D28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2420" w:rsidRDefault="00BE2420" w:rsidP="002D28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2420" w:rsidRDefault="00BE2420" w:rsidP="002D28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2420" w:rsidRDefault="00BE2420" w:rsidP="002D28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2420" w:rsidRDefault="00BE2420" w:rsidP="002D28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2420" w:rsidRDefault="00BE2420" w:rsidP="002D28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2420" w:rsidRDefault="00BE2420" w:rsidP="002D28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2420" w:rsidRDefault="00BE2420" w:rsidP="002D28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2420" w:rsidRDefault="00BE2420" w:rsidP="002D28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2420" w:rsidRDefault="00BE2420" w:rsidP="002D28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2420" w:rsidRDefault="00BE2420" w:rsidP="002D28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2420" w:rsidRDefault="00BE2420" w:rsidP="002D28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2420" w:rsidRDefault="00BE2420" w:rsidP="002D28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2420" w:rsidRDefault="00BE2420" w:rsidP="002D28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2839" w:rsidRPr="002D2839" w:rsidRDefault="002D2839" w:rsidP="002D28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839">
        <w:rPr>
          <w:rFonts w:ascii="Times New Roman" w:hAnsi="Times New Roman" w:cs="Times New Roman"/>
          <w:sz w:val="24"/>
          <w:szCs w:val="24"/>
        </w:rPr>
        <w:lastRenderedPageBreak/>
        <w:t>Tab</w:t>
      </w:r>
      <w:r w:rsidR="00BE2420">
        <w:rPr>
          <w:rFonts w:ascii="Times New Roman" w:hAnsi="Times New Roman" w:cs="Times New Roman"/>
          <w:sz w:val="24"/>
          <w:szCs w:val="24"/>
        </w:rPr>
        <w:t>e</w:t>
      </w:r>
      <w:r w:rsidRPr="002D2839">
        <w:rPr>
          <w:rFonts w:ascii="Times New Roman" w:hAnsi="Times New Roman" w:cs="Times New Roman"/>
          <w:sz w:val="24"/>
          <w:szCs w:val="24"/>
        </w:rPr>
        <w:t>la 2. Resultados da análise estatística para as variáveis estudadas em relação ao tratamento.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1340"/>
        <w:gridCol w:w="912"/>
        <w:gridCol w:w="912"/>
        <w:gridCol w:w="911"/>
        <w:gridCol w:w="913"/>
        <w:gridCol w:w="913"/>
        <w:gridCol w:w="915"/>
        <w:gridCol w:w="915"/>
        <w:gridCol w:w="913"/>
      </w:tblGrid>
      <w:tr w:rsidR="002D2839" w:rsidRPr="00126A97" w:rsidTr="002D2839">
        <w:trPr>
          <w:trHeight w:val="315"/>
        </w:trPr>
        <w:tc>
          <w:tcPr>
            <w:tcW w:w="77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Tratamentos</w:t>
            </w:r>
          </w:p>
        </w:tc>
        <w:tc>
          <w:tcPr>
            <w:tcW w:w="4225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Parâmetros avaliados (médias)</w:t>
            </w:r>
          </w:p>
        </w:tc>
      </w:tr>
      <w:tr w:rsidR="002D2839" w:rsidRPr="00126A97" w:rsidTr="002D2839">
        <w:trPr>
          <w:trHeight w:val="315"/>
        </w:trPr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2D2839" w:rsidRPr="00126A97" w:rsidRDefault="002D2839" w:rsidP="00C211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(L ha</w:t>
            </w:r>
            <w:r w:rsidRPr="00126A97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126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39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Tecnológicos</w:t>
            </w:r>
          </w:p>
        </w:tc>
        <w:tc>
          <w:tcPr>
            <w:tcW w:w="158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Biométricos</w:t>
            </w:r>
          </w:p>
        </w:tc>
      </w:tr>
      <w:tr w:rsidR="002D2839" w:rsidRPr="00126A97" w:rsidTr="002D2839">
        <w:trPr>
          <w:trHeight w:val="375"/>
        </w:trPr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39" w:rsidRPr="00126A97" w:rsidRDefault="002D2839" w:rsidP="00C2112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Brix</w:t>
            </w:r>
            <w:proofErr w:type="spellEnd"/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Pol</w:t>
            </w:r>
            <w:proofErr w:type="spellEnd"/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</w:t>
            </w:r>
          </w:p>
          <w:p w:rsidR="00BE0DBB" w:rsidRPr="00126A97" w:rsidRDefault="00BE0DBB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Fibra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</w:t>
            </w:r>
            <w:proofErr w:type="spellEnd"/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PSPA</w:t>
            </w:r>
          </w:p>
          <w:p w:rsidR="00BE0DBB" w:rsidRPr="00126A97" w:rsidRDefault="00BE0DBB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g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PSR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0DBB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AF </w:t>
            </w:r>
          </w:p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cm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proofErr w:type="gramEnd"/>
          </w:p>
        </w:tc>
      </w:tr>
      <w:tr w:rsidR="002D2839" w:rsidRPr="00126A97" w:rsidTr="002D2839">
        <w:trPr>
          <w:trHeight w:val="360"/>
        </w:trPr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T1 -0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27,22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20,91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73,26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98,07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44,96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2736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proofErr w:type="gramEnd"/>
          </w:p>
        </w:tc>
      </w:tr>
      <w:tr w:rsidR="002D2839" w:rsidRPr="00126A97" w:rsidTr="002D2839">
        <w:trPr>
          <w:trHeight w:val="360"/>
        </w:trPr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T2 -0,15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24,72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19,74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19,62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79,82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109,93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39,86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2842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proofErr w:type="gramEnd"/>
          </w:p>
        </w:tc>
      </w:tr>
      <w:tr w:rsidR="002D2839" w:rsidRPr="00126A97" w:rsidTr="002D2839">
        <w:trPr>
          <w:trHeight w:val="360"/>
        </w:trPr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T3- 0,30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25,88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20,33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18,74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78,51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109,07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67,42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4265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proofErr w:type="gramEnd"/>
          </w:p>
        </w:tc>
      </w:tr>
      <w:tr w:rsidR="002D2839" w:rsidRPr="00126A97" w:rsidTr="002D2839">
        <w:trPr>
          <w:trHeight w:val="375"/>
        </w:trPr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T4- 0,45 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23,27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17,48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85,99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177,70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74,28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7362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proofErr w:type="gramEnd"/>
          </w:p>
        </w:tc>
      </w:tr>
      <w:tr w:rsidR="002D2839" w:rsidRPr="00126A97" w:rsidTr="002D2839">
        <w:trPr>
          <w:trHeight w:val="315"/>
        </w:trPr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Média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25,27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25,27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19,18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79,39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123,70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25,27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4301</w:t>
            </w:r>
          </w:p>
        </w:tc>
      </w:tr>
      <w:tr w:rsidR="002D2839" w:rsidRPr="00126A97" w:rsidTr="002D2839">
        <w:trPr>
          <w:trHeight w:val="315"/>
        </w:trPr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CV%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5,27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10,23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2,25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34,24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D2839" w:rsidRPr="00126A97" w:rsidRDefault="002D2839" w:rsidP="00C211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38,37</w:t>
            </w:r>
          </w:p>
        </w:tc>
      </w:tr>
    </w:tbl>
    <w:p w:rsidR="002D2839" w:rsidRDefault="002D2839" w:rsidP="002D2839">
      <w:pPr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839">
        <w:rPr>
          <w:rFonts w:ascii="Times New Roman" w:hAnsi="Times New Roman" w:cs="Times New Roman"/>
          <w:sz w:val="24"/>
          <w:szCs w:val="24"/>
        </w:rPr>
        <w:t xml:space="preserve">Letras maiúsculas apresentam diferenças na coluna (p&lt;0,05) para contraste de média </w:t>
      </w:r>
      <w:proofErr w:type="spellStart"/>
      <w:r w:rsidRPr="002D2839">
        <w:rPr>
          <w:rFonts w:ascii="Times New Roman" w:hAnsi="Times New Roman" w:cs="Times New Roman"/>
          <w:sz w:val="24"/>
          <w:szCs w:val="24"/>
        </w:rPr>
        <w:t>Tukey</w:t>
      </w:r>
      <w:proofErr w:type="spellEnd"/>
      <w:r w:rsidRPr="002D2839">
        <w:rPr>
          <w:rFonts w:ascii="Times New Roman" w:hAnsi="Times New Roman" w:cs="Times New Roman"/>
          <w:sz w:val="24"/>
          <w:szCs w:val="24"/>
        </w:rPr>
        <w:t>.</w:t>
      </w:r>
    </w:p>
    <w:p w:rsidR="00BE2420" w:rsidRDefault="00BE2420" w:rsidP="002D2839">
      <w:pPr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2420" w:rsidRPr="00BE2420" w:rsidRDefault="00BE2420" w:rsidP="00BE24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D2839">
        <w:rPr>
          <w:rFonts w:ascii="Times New Roman" w:hAnsi="Times New Roman" w:cs="Times New Roman"/>
          <w:sz w:val="24"/>
          <w:szCs w:val="24"/>
        </w:rPr>
        <w:t>Tabl</w:t>
      </w:r>
      <w:r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2D2839">
        <w:rPr>
          <w:rFonts w:ascii="Times New Roman" w:hAnsi="Times New Roman" w:cs="Times New Roman"/>
          <w:sz w:val="24"/>
          <w:szCs w:val="24"/>
        </w:rPr>
        <w:t xml:space="preserve"> 2. </w:t>
      </w:r>
      <w:r w:rsidRPr="00BE2420">
        <w:rPr>
          <w:rFonts w:ascii="Times New Roman" w:hAnsi="Times New Roman" w:cs="Times New Roman"/>
          <w:sz w:val="24"/>
          <w:szCs w:val="24"/>
          <w:lang w:val="en-US"/>
        </w:rPr>
        <w:t xml:space="preserve">The results of statistical analysis </w:t>
      </w:r>
      <w:r w:rsidR="00005925">
        <w:rPr>
          <w:rFonts w:ascii="Times New Roman" w:hAnsi="Times New Roman" w:cs="Times New Roman"/>
          <w:sz w:val="24"/>
          <w:szCs w:val="24"/>
          <w:lang w:val="en-US"/>
        </w:rPr>
        <w:t>for the variables studied in relationship to treatment.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1339"/>
        <w:gridCol w:w="912"/>
        <w:gridCol w:w="913"/>
        <w:gridCol w:w="911"/>
        <w:gridCol w:w="913"/>
        <w:gridCol w:w="913"/>
        <w:gridCol w:w="915"/>
        <w:gridCol w:w="915"/>
        <w:gridCol w:w="913"/>
      </w:tblGrid>
      <w:tr w:rsidR="00BE2420" w:rsidRPr="00126A97" w:rsidTr="00BA75F6">
        <w:trPr>
          <w:trHeight w:val="315"/>
        </w:trPr>
        <w:tc>
          <w:tcPr>
            <w:tcW w:w="77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2420" w:rsidRPr="00126A97" w:rsidRDefault="00BE2420" w:rsidP="0000592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6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="000059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eatment</w:t>
            </w:r>
            <w:proofErr w:type="spellEnd"/>
          </w:p>
        </w:tc>
        <w:tc>
          <w:tcPr>
            <w:tcW w:w="4225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005925" w:rsidP="0000592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Evaluation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Parameters</w:t>
            </w:r>
            <w:proofErr w:type="spellEnd"/>
            <w:r w:rsidR="00BE2420" w:rsidRPr="00126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average</w:t>
            </w:r>
            <w:proofErr w:type="spellEnd"/>
            <w:r w:rsidR="00BE2420" w:rsidRPr="00126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BE2420" w:rsidRPr="00126A97" w:rsidTr="000E69A1">
        <w:trPr>
          <w:trHeight w:val="315"/>
        </w:trPr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E2420" w:rsidRPr="00126A97" w:rsidRDefault="00BE2420" w:rsidP="00BA7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(L ha</w:t>
            </w:r>
            <w:r w:rsidRPr="00126A97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126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39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00592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6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Tec</w:t>
            </w:r>
            <w:r w:rsidR="000059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126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nol</w:t>
            </w:r>
            <w:r w:rsidR="000059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ogical</w:t>
            </w:r>
            <w:proofErr w:type="spellEnd"/>
          </w:p>
        </w:tc>
        <w:tc>
          <w:tcPr>
            <w:tcW w:w="158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00592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6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Biom</w:t>
            </w:r>
            <w:r w:rsidR="000059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etric</w:t>
            </w:r>
            <w:proofErr w:type="spellEnd"/>
          </w:p>
        </w:tc>
      </w:tr>
      <w:tr w:rsidR="00BE2420" w:rsidRPr="00126A97" w:rsidTr="00BA75F6">
        <w:trPr>
          <w:trHeight w:val="375"/>
        </w:trPr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420" w:rsidRPr="00126A97" w:rsidRDefault="00BE2420" w:rsidP="00BA75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Brix</w:t>
            </w:r>
            <w:proofErr w:type="spellEnd"/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Pol</w:t>
            </w:r>
            <w:proofErr w:type="spellEnd"/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Default="00005925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</w:t>
            </w:r>
          </w:p>
          <w:p w:rsidR="000E69A1" w:rsidRPr="00126A97" w:rsidRDefault="000E69A1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00592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Fib</w:t>
            </w:r>
            <w:r w:rsidR="0000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er</w:t>
            </w:r>
            <w:proofErr w:type="spellEnd"/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</w:t>
            </w:r>
            <w:proofErr w:type="spellEnd"/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E69A1" w:rsidRPr="00BE0DBB" w:rsidRDefault="000E69A1" w:rsidP="00BA75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0DBB">
              <w:rPr>
                <w:rFonts w:ascii="Times New Roman" w:hAnsi="Times New Roman" w:cs="Times New Roman"/>
                <w:sz w:val="20"/>
                <w:szCs w:val="20"/>
              </w:rPr>
              <w:t>TDW</w:t>
            </w:r>
          </w:p>
          <w:p w:rsidR="000E69A1" w:rsidRPr="00BE0DBB" w:rsidRDefault="00BE0DBB" w:rsidP="00BA75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0DBB">
              <w:rPr>
                <w:rFonts w:ascii="Times New Roman" w:hAnsi="Times New Roman" w:cs="Times New Roman"/>
                <w:sz w:val="20"/>
                <w:szCs w:val="20"/>
              </w:rPr>
              <w:t xml:space="preserve">            g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BE0DBB" w:rsidRDefault="000E69A1" w:rsidP="00BA75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0DBB">
              <w:rPr>
                <w:rFonts w:ascii="Times New Roman" w:hAnsi="Times New Roman" w:cs="Times New Roman"/>
                <w:sz w:val="20"/>
                <w:szCs w:val="20"/>
              </w:rPr>
              <w:t>RDW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E69A1" w:rsidRPr="00BE0DBB" w:rsidRDefault="000E69A1" w:rsidP="00BA75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0DBB">
              <w:rPr>
                <w:rFonts w:ascii="Times New Roman" w:hAnsi="Times New Roman" w:cs="Times New Roman"/>
                <w:sz w:val="20"/>
                <w:szCs w:val="20"/>
              </w:rPr>
              <w:t>LA</w:t>
            </w:r>
            <w:r w:rsidR="00BE2420" w:rsidRPr="00BE0D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E2420" w:rsidRPr="00BE0DBB" w:rsidRDefault="00BE2420" w:rsidP="00BA75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E0DBB">
              <w:rPr>
                <w:rFonts w:ascii="Times New Roman" w:hAnsi="Times New Roman" w:cs="Times New Roman"/>
                <w:sz w:val="20"/>
                <w:szCs w:val="20"/>
              </w:rPr>
              <w:t>cm</w:t>
            </w:r>
            <w:r w:rsidRPr="00BE0D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</w:tr>
      <w:tr w:rsidR="00BE2420" w:rsidRPr="00126A97" w:rsidTr="00BA75F6">
        <w:trPr>
          <w:trHeight w:val="360"/>
        </w:trPr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T1 -0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27,22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20,91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73,26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98,07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44,96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2736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proofErr w:type="gramEnd"/>
          </w:p>
        </w:tc>
      </w:tr>
      <w:tr w:rsidR="00BE2420" w:rsidRPr="00126A97" w:rsidTr="00BA75F6">
        <w:trPr>
          <w:trHeight w:val="360"/>
        </w:trPr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T2 -0,15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24,72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19,74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19,62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79,82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109,93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39,86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2842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proofErr w:type="gramEnd"/>
          </w:p>
        </w:tc>
      </w:tr>
      <w:tr w:rsidR="00BE2420" w:rsidRPr="00126A97" w:rsidTr="00BA75F6">
        <w:trPr>
          <w:trHeight w:val="360"/>
        </w:trPr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T3- 0,30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25,88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20,33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18,74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78,51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109,07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67,42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4265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proofErr w:type="gramEnd"/>
          </w:p>
        </w:tc>
      </w:tr>
      <w:tr w:rsidR="00BE2420" w:rsidRPr="00126A97" w:rsidTr="00BA75F6">
        <w:trPr>
          <w:trHeight w:val="375"/>
        </w:trPr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T4- 0,45 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23,27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17,48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85,99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177,70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74,28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7362</w:t>
            </w: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proofErr w:type="gramEnd"/>
          </w:p>
        </w:tc>
      </w:tr>
      <w:tr w:rsidR="00BE2420" w:rsidRPr="00126A97" w:rsidTr="00BA75F6">
        <w:trPr>
          <w:trHeight w:val="315"/>
        </w:trPr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Média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25,27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25,27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19,18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79,39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123,70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25,27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4301</w:t>
            </w:r>
          </w:p>
        </w:tc>
      </w:tr>
      <w:tr w:rsidR="00BE2420" w:rsidRPr="00126A97" w:rsidTr="00BA75F6">
        <w:trPr>
          <w:trHeight w:val="315"/>
        </w:trPr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CV%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5,27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10,23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2,25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34,24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E2420" w:rsidRPr="00126A97" w:rsidRDefault="00BE2420" w:rsidP="00BA75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A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38,37</w:t>
            </w:r>
          </w:p>
        </w:tc>
      </w:tr>
    </w:tbl>
    <w:p w:rsidR="002D2839" w:rsidRPr="003A0FBC" w:rsidRDefault="000E69A1" w:rsidP="003A0FBC">
      <w:pPr>
        <w:spacing w:before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69A1">
        <w:rPr>
          <w:rFonts w:ascii="Times New Roman" w:hAnsi="Times New Roman" w:cs="Times New Roman"/>
          <w:sz w:val="24"/>
          <w:szCs w:val="24"/>
          <w:lang w:val="en-US"/>
        </w:rPr>
        <w:t xml:space="preserve">The capital letters show differences in column (p &lt;0.05) for </w:t>
      </w:r>
      <w:proofErr w:type="spellStart"/>
      <w:r w:rsidRPr="000E69A1">
        <w:rPr>
          <w:rFonts w:ascii="Times New Roman" w:hAnsi="Times New Roman" w:cs="Times New Roman"/>
          <w:sz w:val="24"/>
          <w:szCs w:val="24"/>
          <w:lang w:val="en-US"/>
        </w:rPr>
        <w:t>Tukey</w:t>
      </w:r>
      <w:proofErr w:type="spellEnd"/>
      <w:r w:rsidRPr="000E69A1">
        <w:rPr>
          <w:rFonts w:ascii="Times New Roman" w:hAnsi="Times New Roman" w:cs="Times New Roman"/>
          <w:sz w:val="24"/>
          <w:szCs w:val="24"/>
          <w:lang w:val="en-US"/>
        </w:rPr>
        <w:t xml:space="preserve"> contrast medium.</w:t>
      </w:r>
    </w:p>
    <w:sectPr w:rsidR="002D2839" w:rsidRPr="003A0FBC" w:rsidSect="001A49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7"/>
  <w:proofState w:spelling="clean" w:grammar="clean"/>
  <w:defaultTabStop w:val="708"/>
  <w:hyphenationZone w:val="425"/>
  <w:characterSpacingControl w:val="doNotCompress"/>
  <w:compat/>
  <w:rsids>
    <w:rsidRoot w:val="002D2839"/>
    <w:rsid w:val="00005925"/>
    <w:rsid w:val="000E69A1"/>
    <w:rsid w:val="00133DAF"/>
    <w:rsid w:val="001A49AB"/>
    <w:rsid w:val="002D2839"/>
    <w:rsid w:val="003A0FBC"/>
    <w:rsid w:val="006912B4"/>
    <w:rsid w:val="008C55D6"/>
    <w:rsid w:val="00B33598"/>
    <w:rsid w:val="00B52EDC"/>
    <w:rsid w:val="00BE0DBB"/>
    <w:rsid w:val="00BE2420"/>
    <w:rsid w:val="00CE5751"/>
    <w:rsid w:val="00E55FFD"/>
    <w:rsid w:val="00FA78DE"/>
    <w:rsid w:val="00FB1546"/>
    <w:rsid w:val="00FB3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9A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D2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2839"/>
    <w:rPr>
      <w:rFonts w:ascii="Tahoma" w:hAnsi="Tahoma" w:cs="Tahoma"/>
      <w:sz w:val="16"/>
      <w:szCs w:val="16"/>
    </w:rPr>
  </w:style>
  <w:style w:type="character" w:customStyle="1" w:styleId="hps">
    <w:name w:val="hps"/>
    <w:basedOn w:val="Fontepargpadro"/>
    <w:rsid w:val="00BE24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D:\Tadeu\Documents\2010\Artigo%20maturador%20definir%20a%20revista%20media%20%20STAB%20est&#225;%20com%20Elvis\resultados%20brix%20antes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D:\Tadeu\Documents\2010\Artigo%20maturador%20definir%20a%20revista%20media%20%20STAB%20est&#225;%20com%20Elvis\resultados%20brix%20antes%20ingles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plotArea>
      <c:layout>
        <c:manualLayout>
          <c:layoutTarget val="inner"/>
          <c:xMode val="edge"/>
          <c:yMode val="edge"/>
          <c:x val="9.7637795275590564E-2"/>
          <c:y val="8.0459995902915943E-2"/>
          <c:w val="0.88031496062992076"/>
          <c:h val="0.59493858390872456"/>
        </c:manualLayout>
      </c:layout>
      <c:barChart>
        <c:barDir val="col"/>
        <c:grouping val="clustered"/>
        <c:ser>
          <c:idx val="0"/>
          <c:order val="0"/>
          <c:tx>
            <c:strRef>
              <c:f>Plan3!$B$1</c:f>
              <c:strCache>
                <c:ptCount val="1"/>
                <c:pt idx="0">
                  <c:v>brix maio</c:v>
                </c:pt>
              </c:strCache>
            </c:strRef>
          </c:tx>
          <c:cat>
            <c:strRef>
              <c:f>Plan3!$A$2:$A$7</c:f>
              <c:strCache>
                <c:ptCount val="6"/>
                <c:pt idx="0">
                  <c:v>SP81-3250</c:v>
                </c:pt>
                <c:pt idx="1">
                  <c:v>RB84-5210</c:v>
                </c:pt>
                <c:pt idx="2">
                  <c:v>SP80-1816</c:v>
                </c:pt>
                <c:pt idx="3">
                  <c:v>RB86-7515</c:v>
                </c:pt>
                <c:pt idx="4">
                  <c:v>RB85-5536</c:v>
                </c:pt>
                <c:pt idx="5">
                  <c:v>RB72-454</c:v>
                </c:pt>
              </c:strCache>
            </c:strRef>
          </c:cat>
          <c:val>
            <c:numRef>
              <c:f>Plan3!$B$2:$B$7</c:f>
              <c:numCache>
                <c:formatCode>0.0</c:formatCode>
                <c:ptCount val="6"/>
                <c:pt idx="0">
                  <c:v>16.625</c:v>
                </c:pt>
                <c:pt idx="1">
                  <c:v>17.625</c:v>
                </c:pt>
                <c:pt idx="2">
                  <c:v>17</c:v>
                </c:pt>
                <c:pt idx="3">
                  <c:v>16.875</c:v>
                </c:pt>
                <c:pt idx="4">
                  <c:v>17.25</c:v>
                </c:pt>
                <c:pt idx="5">
                  <c:v>15.875000000000002</c:v>
                </c:pt>
              </c:numCache>
            </c:numRef>
          </c:val>
        </c:ser>
        <c:ser>
          <c:idx val="1"/>
          <c:order val="1"/>
          <c:tx>
            <c:strRef>
              <c:f>Plan3!$C$1</c:f>
              <c:strCache>
                <c:ptCount val="1"/>
                <c:pt idx="0">
                  <c:v>brix julho</c:v>
                </c:pt>
              </c:strCache>
            </c:strRef>
          </c:tx>
          <c:cat>
            <c:strRef>
              <c:f>Plan3!$A$2:$A$7</c:f>
              <c:strCache>
                <c:ptCount val="6"/>
                <c:pt idx="0">
                  <c:v>SP81-3250</c:v>
                </c:pt>
                <c:pt idx="1">
                  <c:v>RB84-5210</c:v>
                </c:pt>
                <c:pt idx="2">
                  <c:v>SP80-1816</c:v>
                </c:pt>
                <c:pt idx="3">
                  <c:v>RB86-7515</c:v>
                </c:pt>
                <c:pt idx="4">
                  <c:v>RB85-5536</c:v>
                </c:pt>
                <c:pt idx="5">
                  <c:v>RB72-454</c:v>
                </c:pt>
              </c:strCache>
            </c:strRef>
          </c:cat>
          <c:val>
            <c:numRef>
              <c:f>Plan3!$C$2:$C$7</c:f>
              <c:numCache>
                <c:formatCode>0.0</c:formatCode>
                <c:ptCount val="6"/>
                <c:pt idx="0">
                  <c:v>18.024999999999999</c:v>
                </c:pt>
                <c:pt idx="1">
                  <c:v>19.375</c:v>
                </c:pt>
                <c:pt idx="2">
                  <c:v>20.375</c:v>
                </c:pt>
                <c:pt idx="3">
                  <c:v>21.25</c:v>
                </c:pt>
                <c:pt idx="4">
                  <c:v>19.75</c:v>
                </c:pt>
                <c:pt idx="5">
                  <c:v>19.25</c:v>
                </c:pt>
              </c:numCache>
            </c:numRef>
          </c:val>
        </c:ser>
        <c:gapWidth val="153"/>
        <c:overlap val="-1"/>
        <c:axId val="131388544"/>
        <c:axId val="131630208"/>
      </c:barChart>
      <c:catAx>
        <c:axId val="131388544"/>
        <c:scaling>
          <c:orientation val="minMax"/>
        </c:scaling>
        <c:axPos val="b"/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31630208"/>
        <c:crosses val="autoZero"/>
        <c:auto val="1"/>
        <c:lblAlgn val="ctr"/>
        <c:lblOffset val="100"/>
        <c:tickLblSkip val="1"/>
        <c:tickMarkSkip val="1"/>
      </c:catAx>
      <c:valAx>
        <c:axId val="131630208"/>
        <c:scaling>
          <c:orientation val="minMax"/>
          <c:max val="25"/>
        </c:scaling>
        <c:axPos val="l"/>
        <c:majorGridlines/>
        <c:numFmt formatCode="0.0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31388544"/>
        <c:crosses val="autoZero"/>
        <c:crossBetween val="between"/>
        <c:majorUnit val="5"/>
      </c:valAx>
    </c:plotArea>
    <c:legend>
      <c:legendPos val="b"/>
      <c:layout>
        <c:manualLayout>
          <c:xMode val="edge"/>
          <c:yMode val="edge"/>
          <c:x val="0.37795275590551203"/>
          <c:y val="0.90230135722345872"/>
          <c:w val="0.31811023622047263"/>
          <c:h val="7.7586548712289871E-2"/>
        </c:manualLayout>
      </c:layout>
    </c:legend>
    <c:plotVisOnly val="1"/>
    <c:dispBlanksAs val="gap"/>
  </c:chart>
  <c:externalData r:id="rId1"/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style val="1"/>
  <c:chart>
    <c:plotArea>
      <c:layout>
        <c:manualLayout>
          <c:layoutTarget val="inner"/>
          <c:xMode val="edge"/>
          <c:yMode val="edge"/>
          <c:x val="9.7637795275590564E-2"/>
          <c:y val="8.0459995902915943E-2"/>
          <c:w val="0.88031496062992076"/>
          <c:h val="0.59493858390872456"/>
        </c:manualLayout>
      </c:layout>
      <c:barChart>
        <c:barDir val="col"/>
        <c:grouping val="clustered"/>
        <c:ser>
          <c:idx val="0"/>
          <c:order val="0"/>
          <c:tx>
            <c:strRef>
              <c:f>Plan3!$B$1</c:f>
              <c:strCache>
                <c:ptCount val="1"/>
                <c:pt idx="0">
                  <c:v>brix - May</c:v>
                </c:pt>
              </c:strCache>
            </c:strRef>
          </c:tx>
          <c:cat>
            <c:strRef>
              <c:f>Plan3!$A$2:$A$7</c:f>
              <c:strCache>
                <c:ptCount val="6"/>
                <c:pt idx="0">
                  <c:v>SP81-3250</c:v>
                </c:pt>
                <c:pt idx="1">
                  <c:v>RB84-5210</c:v>
                </c:pt>
                <c:pt idx="2">
                  <c:v>SP80-1816</c:v>
                </c:pt>
                <c:pt idx="3">
                  <c:v>RB86-7515</c:v>
                </c:pt>
                <c:pt idx="4">
                  <c:v>RB85-5536</c:v>
                </c:pt>
                <c:pt idx="5">
                  <c:v>RB72-454</c:v>
                </c:pt>
              </c:strCache>
            </c:strRef>
          </c:cat>
          <c:val>
            <c:numRef>
              <c:f>Plan3!$B$2:$B$7</c:f>
              <c:numCache>
                <c:formatCode>0.0</c:formatCode>
                <c:ptCount val="6"/>
                <c:pt idx="0">
                  <c:v>16.625</c:v>
                </c:pt>
                <c:pt idx="1">
                  <c:v>17.625</c:v>
                </c:pt>
                <c:pt idx="2">
                  <c:v>17</c:v>
                </c:pt>
                <c:pt idx="3">
                  <c:v>16.875</c:v>
                </c:pt>
                <c:pt idx="4">
                  <c:v>17.25</c:v>
                </c:pt>
                <c:pt idx="5">
                  <c:v>15.875000000000002</c:v>
                </c:pt>
              </c:numCache>
            </c:numRef>
          </c:val>
        </c:ser>
        <c:ser>
          <c:idx val="1"/>
          <c:order val="1"/>
          <c:tx>
            <c:strRef>
              <c:f>Plan3!$C$1</c:f>
              <c:strCache>
                <c:ptCount val="1"/>
                <c:pt idx="0">
                  <c:v>brix - July</c:v>
                </c:pt>
              </c:strCache>
            </c:strRef>
          </c:tx>
          <c:cat>
            <c:strRef>
              <c:f>Plan3!$A$2:$A$7</c:f>
              <c:strCache>
                <c:ptCount val="6"/>
                <c:pt idx="0">
                  <c:v>SP81-3250</c:v>
                </c:pt>
                <c:pt idx="1">
                  <c:v>RB84-5210</c:v>
                </c:pt>
                <c:pt idx="2">
                  <c:v>SP80-1816</c:v>
                </c:pt>
                <c:pt idx="3">
                  <c:v>RB86-7515</c:v>
                </c:pt>
                <c:pt idx="4">
                  <c:v>RB85-5536</c:v>
                </c:pt>
                <c:pt idx="5">
                  <c:v>RB72-454</c:v>
                </c:pt>
              </c:strCache>
            </c:strRef>
          </c:cat>
          <c:val>
            <c:numRef>
              <c:f>Plan3!$C$2:$C$7</c:f>
              <c:numCache>
                <c:formatCode>0.0</c:formatCode>
                <c:ptCount val="6"/>
                <c:pt idx="0">
                  <c:v>18.024999999999999</c:v>
                </c:pt>
                <c:pt idx="1">
                  <c:v>19.375</c:v>
                </c:pt>
                <c:pt idx="2">
                  <c:v>20.375</c:v>
                </c:pt>
                <c:pt idx="3">
                  <c:v>21.25</c:v>
                </c:pt>
                <c:pt idx="4">
                  <c:v>19.75</c:v>
                </c:pt>
                <c:pt idx="5">
                  <c:v>19.25</c:v>
                </c:pt>
              </c:numCache>
            </c:numRef>
          </c:val>
        </c:ser>
        <c:gapWidth val="153"/>
        <c:overlap val="-1"/>
        <c:axId val="109566592"/>
        <c:axId val="127068032"/>
      </c:barChart>
      <c:catAx>
        <c:axId val="109566592"/>
        <c:scaling>
          <c:orientation val="minMax"/>
        </c:scaling>
        <c:axPos val="b"/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27068032"/>
        <c:crosses val="autoZero"/>
        <c:auto val="1"/>
        <c:lblAlgn val="ctr"/>
        <c:lblOffset val="100"/>
        <c:tickLblSkip val="1"/>
        <c:tickMarkSkip val="1"/>
      </c:catAx>
      <c:valAx>
        <c:axId val="127068032"/>
        <c:scaling>
          <c:orientation val="minMax"/>
          <c:max val="25"/>
        </c:scaling>
        <c:axPos val="l"/>
        <c:majorGridlines/>
        <c:numFmt formatCode="0.0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09566592"/>
        <c:crosses val="autoZero"/>
        <c:crossBetween val="between"/>
        <c:majorUnit val="5"/>
      </c:valAx>
    </c:plotArea>
    <c:legend>
      <c:legendPos val="b"/>
      <c:layout>
        <c:manualLayout>
          <c:xMode val="edge"/>
          <c:yMode val="edge"/>
          <c:x val="0.37795275590551203"/>
          <c:y val="0.90230135722345872"/>
          <c:w val="0.31811023622047263"/>
          <c:h val="7.7586548712289871E-2"/>
        </c:manualLayout>
      </c:layout>
    </c:legend>
    <c:plotVisOnly val="1"/>
    <c:dispBlanksAs val="gap"/>
  </c:chart>
  <c:externalData r:id="rId1"/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0.09914</cdr:x>
      <cdr:y>0.75059</cdr:y>
    </cdr:from>
    <cdr:to>
      <cdr:x>0.5273</cdr:x>
      <cdr:y>0.83373</cdr:y>
    </cdr:to>
    <cdr:sp macro="" textlink="">
      <cdr:nvSpPr>
        <cdr:cNvPr id="2" name="Chave esquerda 1"/>
        <cdr:cNvSpPr/>
      </cdr:nvSpPr>
      <cdr:spPr>
        <a:xfrm xmlns:a="http://schemas.openxmlformats.org/drawingml/2006/main" rot="16200000">
          <a:off x="1909763" y="1757361"/>
          <a:ext cx="333375" cy="2838450"/>
        </a:xfrm>
        <a:prstGeom xmlns:a="http://schemas.openxmlformats.org/drawingml/2006/main" prst="leftBrace">
          <a:avLst>
            <a:gd name="adj1" fmla="val 8333"/>
            <a:gd name="adj2" fmla="val 50336"/>
          </a:avLst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pt-BR"/>
        </a:p>
      </cdr:txBody>
    </cdr:sp>
  </cdr:relSizeAnchor>
  <cdr:relSizeAnchor xmlns:cdr="http://schemas.openxmlformats.org/drawingml/2006/chartDrawing">
    <cdr:from>
      <cdr:x>0.54598</cdr:x>
      <cdr:y>0.75297</cdr:y>
    </cdr:from>
    <cdr:to>
      <cdr:x>0.82471</cdr:x>
      <cdr:y>0.8361</cdr:y>
    </cdr:to>
    <cdr:sp macro="" textlink="">
      <cdr:nvSpPr>
        <cdr:cNvPr id="3" name="Chave esquerda 2"/>
        <cdr:cNvSpPr/>
      </cdr:nvSpPr>
      <cdr:spPr>
        <a:xfrm xmlns:a="http://schemas.openxmlformats.org/drawingml/2006/main" rot="16200000">
          <a:off x="4376738" y="2262187"/>
          <a:ext cx="333375" cy="1847853"/>
        </a:xfrm>
        <a:prstGeom xmlns:a="http://schemas.openxmlformats.org/drawingml/2006/main" prst="leftBrace">
          <a:avLst>
            <a:gd name="adj1" fmla="val 8333"/>
            <a:gd name="adj2" fmla="val 50336"/>
          </a:avLst>
        </a:prstGeom>
        <a:noFill xmlns:a="http://schemas.openxmlformats.org/drawingml/2006/main"/>
        <a:ln xmlns:a="http://schemas.openxmlformats.org/drawingml/2006/main" w="9525" cap="flat" cmpd="sng" algn="ctr">
          <a:solidFill>
            <a:srgbClr val="4F81BD">
              <a:shade val="95000"/>
              <a:satMod val="105000"/>
            </a:srgbClr>
          </a:solidFill>
          <a:prstDash val="solid"/>
        </a:ln>
        <a:effectLst xmlns:a="http://schemas.openxmlformats.org/drawingml/2006/main"/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t-BR"/>
        </a:p>
      </cdr:txBody>
    </cdr:sp>
  </cdr:relSizeAnchor>
  <cdr:relSizeAnchor xmlns:cdr="http://schemas.openxmlformats.org/drawingml/2006/chartDrawing">
    <cdr:from>
      <cdr:x>0.84195</cdr:x>
      <cdr:y>0.75297</cdr:y>
    </cdr:from>
    <cdr:to>
      <cdr:x>0.96121</cdr:x>
      <cdr:y>0.8361</cdr:y>
    </cdr:to>
    <cdr:sp macro="" textlink="">
      <cdr:nvSpPr>
        <cdr:cNvPr id="4" name="Chave esquerda 3"/>
        <cdr:cNvSpPr/>
      </cdr:nvSpPr>
      <cdr:spPr>
        <a:xfrm xmlns:a="http://schemas.openxmlformats.org/drawingml/2006/main" rot="16200000">
          <a:off x="5810250" y="2790825"/>
          <a:ext cx="333375" cy="790575"/>
        </a:xfrm>
        <a:prstGeom xmlns:a="http://schemas.openxmlformats.org/drawingml/2006/main" prst="leftBrace">
          <a:avLst>
            <a:gd name="adj1" fmla="val 8333"/>
            <a:gd name="adj2" fmla="val 50336"/>
          </a:avLst>
        </a:prstGeom>
        <a:noFill xmlns:a="http://schemas.openxmlformats.org/drawingml/2006/main"/>
        <a:ln xmlns:a="http://schemas.openxmlformats.org/drawingml/2006/main" w="9525" cap="flat" cmpd="sng" algn="ctr">
          <a:solidFill>
            <a:srgbClr val="4F81BD">
              <a:shade val="95000"/>
              <a:satMod val="105000"/>
            </a:srgbClr>
          </a:solidFill>
          <a:prstDash val="solid"/>
        </a:ln>
        <a:effectLst xmlns:a="http://schemas.openxmlformats.org/drawingml/2006/main"/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t-BR"/>
        </a:p>
      </cdr:txBody>
    </cdr:sp>
  </cdr:relSizeAnchor>
  <cdr:relSizeAnchor xmlns:cdr="http://schemas.openxmlformats.org/drawingml/2006/chartDrawing">
    <cdr:from>
      <cdr:x>0.22845</cdr:x>
      <cdr:y>0.82898</cdr:y>
    </cdr:from>
    <cdr:to>
      <cdr:x>0.47845</cdr:x>
      <cdr:y>0.90499</cdr:y>
    </cdr:to>
    <cdr:sp macro="" textlink="">
      <cdr:nvSpPr>
        <cdr:cNvPr id="5" name="CaixaDeTexto 4"/>
        <cdr:cNvSpPr txBox="1"/>
      </cdr:nvSpPr>
      <cdr:spPr>
        <a:xfrm xmlns:a="http://schemas.openxmlformats.org/drawingml/2006/main">
          <a:off x="1514475" y="3324224"/>
          <a:ext cx="1657350" cy="304800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pt-BR" sz="1100"/>
            <a:t>precoce/média</a:t>
          </a:r>
        </a:p>
      </cdr:txBody>
    </cdr:sp>
  </cdr:relSizeAnchor>
  <cdr:relSizeAnchor xmlns:cdr="http://schemas.openxmlformats.org/drawingml/2006/chartDrawing">
    <cdr:from>
      <cdr:x>0.64655</cdr:x>
      <cdr:y>0.83848</cdr:y>
    </cdr:from>
    <cdr:to>
      <cdr:x>0.75907</cdr:x>
      <cdr:y>0.91449</cdr:y>
    </cdr:to>
    <cdr:sp macro="" textlink="">
      <cdr:nvSpPr>
        <cdr:cNvPr id="6" name="CaixaDeTexto 1"/>
        <cdr:cNvSpPr txBox="1"/>
      </cdr:nvSpPr>
      <cdr:spPr>
        <a:xfrm xmlns:a="http://schemas.openxmlformats.org/drawingml/2006/main">
          <a:off x="3491396" y="2738827"/>
          <a:ext cx="607596" cy="248281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pt-BR" sz="1100"/>
            <a:t>média</a:t>
          </a:r>
        </a:p>
      </cdr:txBody>
    </cdr:sp>
  </cdr:relSizeAnchor>
  <cdr:relSizeAnchor xmlns:cdr="http://schemas.openxmlformats.org/drawingml/2006/chartDrawing">
    <cdr:from>
      <cdr:x>0.86351</cdr:x>
      <cdr:y>0.83373</cdr:y>
    </cdr:from>
    <cdr:to>
      <cdr:x>0.98004</cdr:x>
      <cdr:y>0.90974</cdr:y>
    </cdr:to>
    <cdr:sp macro="" textlink="">
      <cdr:nvSpPr>
        <cdr:cNvPr id="7" name="CaixaDeTexto 1"/>
        <cdr:cNvSpPr txBox="1"/>
      </cdr:nvSpPr>
      <cdr:spPr>
        <a:xfrm xmlns:a="http://schemas.openxmlformats.org/drawingml/2006/main">
          <a:off x="4662989" y="2723312"/>
          <a:ext cx="629263" cy="248280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t-BR" sz="1100"/>
            <a:t>tardia</a:t>
          </a:r>
        </a:p>
      </cdr:txBody>
    </cdr:sp>
  </cdr:relSizeAnchor>
  <cdr:relSizeAnchor xmlns:cdr="http://schemas.openxmlformats.org/drawingml/2006/chartDrawing">
    <cdr:from>
      <cdr:x>0.09626</cdr:x>
      <cdr:y>0.24703</cdr:y>
    </cdr:from>
    <cdr:to>
      <cdr:x>0.97988</cdr:x>
      <cdr:y>0.24941</cdr:y>
    </cdr:to>
    <cdr:sp macro="" textlink="">
      <cdr:nvSpPr>
        <cdr:cNvPr id="9" name="Conector reto 8"/>
        <cdr:cNvSpPr/>
      </cdr:nvSpPr>
      <cdr:spPr>
        <a:xfrm xmlns:a="http://schemas.openxmlformats.org/drawingml/2006/main">
          <a:off x="638174" y="990598"/>
          <a:ext cx="5857875" cy="9525"/>
        </a:xfrm>
        <a:prstGeom xmlns:a="http://schemas.openxmlformats.org/drawingml/2006/main" prst="line">
          <a:avLst/>
        </a:prstGeom>
        <a:ln xmlns:a="http://schemas.openxmlformats.org/drawingml/2006/main" w="28575">
          <a:solidFill>
            <a:srgbClr val="002060"/>
          </a:solidFill>
          <a:prstDash val="sysDash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pt-BR"/>
        </a:p>
      </cdr:txBody>
    </cdr:sp>
  </cdr:relSizeAnchor>
  <cdr:relSizeAnchor xmlns:cdr="http://schemas.openxmlformats.org/drawingml/2006/chartDrawing">
    <cdr:from>
      <cdr:x>0.23132</cdr:x>
      <cdr:y>0.14489</cdr:y>
    </cdr:from>
    <cdr:to>
      <cdr:x>0.30603</cdr:x>
      <cdr:y>0.24703</cdr:y>
    </cdr:to>
    <cdr:sp macro="" textlink="">
      <cdr:nvSpPr>
        <cdr:cNvPr id="11" name="Conector de seta reta 10"/>
        <cdr:cNvSpPr/>
      </cdr:nvSpPr>
      <cdr:spPr>
        <a:xfrm xmlns:a="http://schemas.openxmlformats.org/drawingml/2006/main" flipV="1">
          <a:off x="1533525" y="581024"/>
          <a:ext cx="495300" cy="409575"/>
        </a:xfrm>
        <a:prstGeom xmlns:a="http://schemas.openxmlformats.org/drawingml/2006/main" prst="straightConnector1">
          <a:avLst/>
        </a:prstGeom>
        <a:ln xmlns:a="http://schemas.openxmlformats.org/drawingml/2006/main">
          <a:solidFill>
            <a:schemeClr val="tx1"/>
          </a:solidFill>
          <a:tailEnd type="arrow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pt-BR"/>
        </a:p>
      </cdr:txBody>
    </cdr:sp>
  </cdr:relSizeAnchor>
  <cdr:relSizeAnchor xmlns:cdr="http://schemas.openxmlformats.org/drawingml/2006/chartDrawing">
    <cdr:from>
      <cdr:x>0.29598</cdr:x>
      <cdr:y>0.09976</cdr:y>
    </cdr:from>
    <cdr:to>
      <cdr:x>0.45163</cdr:x>
      <cdr:y>0.16627</cdr:y>
    </cdr:to>
    <cdr:sp macro="" textlink="">
      <cdr:nvSpPr>
        <cdr:cNvPr id="12" name="CaixaDeTexto 11"/>
        <cdr:cNvSpPr txBox="1"/>
      </cdr:nvSpPr>
      <cdr:spPr>
        <a:xfrm xmlns:a="http://schemas.openxmlformats.org/drawingml/2006/main">
          <a:off x="1598303" y="325858"/>
          <a:ext cx="840501" cy="21724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pt-BR" sz="1100"/>
            <a:t>brix</a:t>
          </a:r>
          <a:r>
            <a:rPr lang="pt-BR" sz="1100" baseline="0"/>
            <a:t> = 18</a:t>
          </a:r>
          <a:endParaRPr lang="pt-BR" sz="1100"/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0.09914</cdr:x>
      <cdr:y>0.75059</cdr:y>
    </cdr:from>
    <cdr:to>
      <cdr:x>0.5273</cdr:x>
      <cdr:y>0.83373</cdr:y>
    </cdr:to>
    <cdr:sp macro="" textlink="">
      <cdr:nvSpPr>
        <cdr:cNvPr id="2" name="Chave esquerda 1"/>
        <cdr:cNvSpPr/>
      </cdr:nvSpPr>
      <cdr:spPr>
        <a:xfrm xmlns:a="http://schemas.openxmlformats.org/drawingml/2006/main" rot="16200000">
          <a:off x="1909763" y="1757361"/>
          <a:ext cx="333375" cy="2838450"/>
        </a:xfrm>
        <a:prstGeom xmlns:a="http://schemas.openxmlformats.org/drawingml/2006/main" prst="leftBrace">
          <a:avLst>
            <a:gd name="adj1" fmla="val 8333"/>
            <a:gd name="adj2" fmla="val 50336"/>
          </a:avLst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pt-BR"/>
        </a:p>
      </cdr:txBody>
    </cdr:sp>
  </cdr:relSizeAnchor>
  <cdr:relSizeAnchor xmlns:cdr="http://schemas.openxmlformats.org/drawingml/2006/chartDrawing">
    <cdr:from>
      <cdr:x>0.54598</cdr:x>
      <cdr:y>0.75297</cdr:y>
    </cdr:from>
    <cdr:to>
      <cdr:x>0.82471</cdr:x>
      <cdr:y>0.8361</cdr:y>
    </cdr:to>
    <cdr:sp macro="" textlink="">
      <cdr:nvSpPr>
        <cdr:cNvPr id="3" name="Chave esquerda 2"/>
        <cdr:cNvSpPr/>
      </cdr:nvSpPr>
      <cdr:spPr>
        <a:xfrm xmlns:a="http://schemas.openxmlformats.org/drawingml/2006/main" rot="16200000">
          <a:off x="4376738" y="2262187"/>
          <a:ext cx="333375" cy="1847853"/>
        </a:xfrm>
        <a:prstGeom xmlns:a="http://schemas.openxmlformats.org/drawingml/2006/main" prst="leftBrace">
          <a:avLst>
            <a:gd name="adj1" fmla="val 8333"/>
            <a:gd name="adj2" fmla="val 50336"/>
          </a:avLst>
        </a:prstGeom>
        <a:noFill xmlns:a="http://schemas.openxmlformats.org/drawingml/2006/main"/>
        <a:ln xmlns:a="http://schemas.openxmlformats.org/drawingml/2006/main" w="9525" cap="flat" cmpd="sng" algn="ctr">
          <a:solidFill>
            <a:srgbClr val="4F81BD">
              <a:shade val="95000"/>
              <a:satMod val="105000"/>
            </a:srgbClr>
          </a:solidFill>
          <a:prstDash val="solid"/>
        </a:ln>
        <a:effectLst xmlns:a="http://schemas.openxmlformats.org/drawingml/2006/main"/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t-BR"/>
        </a:p>
      </cdr:txBody>
    </cdr:sp>
  </cdr:relSizeAnchor>
  <cdr:relSizeAnchor xmlns:cdr="http://schemas.openxmlformats.org/drawingml/2006/chartDrawing">
    <cdr:from>
      <cdr:x>0.84195</cdr:x>
      <cdr:y>0.75297</cdr:y>
    </cdr:from>
    <cdr:to>
      <cdr:x>0.96121</cdr:x>
      <cdr:y>0.8361</cdr:y>
    </cdr:to>
    <cdr:sp macro="" textlink="">
      <cdr:nvSpPr>
        <cdr:cNvPr id="4" name="Chave esquerda 3"/>
        <cdr:cNvSpPr/>
      </cdr:nvSpPr>
      <cdr:spPr>
        <a:xfrm xmlns:a="http://schemas.openxmlformats.org/drawingml/2006/main" rot="16200000">
          <a:off x="5810250" y="2790825"/>
          <a:ext cx="333375" cy="790575"/>
        </a:xfrm>
        <a:prstGeom xmlns:a="http://schemas.openxmlformats.org/drawingml/2006/main" prst="leftBrace">
          <a:avLst>
            <a:gd name="adj1" fmla="val 8333"/>
            <a:gd name="adj2" fmla="val 50336"/>
          </a:avLst>
        </a:prstGeom>
        <a:noFill xmlns:a="http://schemas.openxmlformats.org/drawingml/2006/main"/>
        <a:ln xmlns:a="http://schemas.openxmlformats.org/drawingml/2006/main" w="9525" cap="flat" cmpd="sng" algn="ctr">
          <a:solidFill>
            <a:srgbClr val="4F81BD">
              <a:shade val="95000"/>
              <a:satMod val="105000"/>
            </a:srgbClr>
          </a:solidFill>
          <a:prstDash val="solid"/>
        </a:ln>
        <a:effectLst xmlns:a="http://schemas.openxmlformats.org/drawingml/2006/main"/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t-BR"/>
        </a:p>
      </cdr:txBody>
    </cdr:sp>
  </cdr:relSizeAnchor>
  <cdr:relSizeAnchor xmlns:cdr="http://schemas.openxmlformats.org/drawingml/2006/chartDrawing">
    <cdr:from>
      <cdr:x>0.22845</cdr:x>
      <cdr:y>0.82898</cdr:y>
    </cdr:from>
    <cdr:to>
      <cdr:x>0.47845</cdr:x>
      <cdr:y>0.90499</cdr:y>
    </cdr:to>
    <cdr:sp macro="" textlink="">
      <cdr:nvSpPr>
        <cdr:cNvPr id="5" name="CaixaDeTexto 4"/>
        <cdr:cNvSpPr txBox="1"/>
      </cdr:nvSpPr>
      <cdr:spPr>
        <a:xfrm xmlns:a="http://schemas.openxmlformats.org/drawingml/2006/main">
          <a:off x="1514475" y="3324224"/>
          <a:ext cx="1657350" cy="304800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pt-BR" sz="1100"/>
            <a:t>early/medium</a:t>
          </a:r>
        </a:p>
      </cdr:txBody>
    </cdr:sp>
  </cdr:relSizeAnchor>
  <cdr:relSizeAnchor xmlns:cdr="http://schemas.openxmlformats.org/drawingml/2006/chartDrawing">
    <cdr:from>
      <cdr:x>0.64655</cdr:x>
      <cdr:y>0.83848</cdr:y>
    </cdr:from>
    <cdr:to>
      <cdr:x>0.76868</cdr:x>
      <cdr:y>0.91449</cdr:y>
    </cdr:to>
    <cdr:sp macro="" textlink="">
      <cdr:nvSpPr>
        <cdr:cNvPr id="6" name="CaixaDeTexto 1"/>
        <cdr:cNvSpPr txBox="1"/>
      </cdr:nvSpPr>
      <cdr:spPr>
        <a:xfrm xmlns:a="http://schemas.openxmlformats.org/drawingml/2006/main">
          <a:off x="4286239" y="3362326"/>
          <a:ext cx="809636" cy="304802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pt-BR" sz="1100"/>
            <a:t>medium</a:t>
          </a:r>
        </a:p>
      </cdr:txBody>
    </cdr:sp>
  </cdr:relSizeAnchor>
  <cdr:relSizeAnchor xmlns:cdr="http://schemas.openxmlformats.org/drawingml/2006/chartDrawing">
    <cdr:from>
      <cdr:x>0.86351</cdr:x>
      <cdr:y>0.83373</cdr:y>
    </cdr:from>
    <cdr:to>
      <cdr:x>0.95546</cdr:x>
      <cdr:y>0.90974</cdr:y>
    </cdr:to>
    <cdr:sp macro="" textlink="">
      <cdr:nvSpPr>
        <cdr:cNvPr id="7" name="CaixaDeTexto 1"/>
        <cdr:cNvSpPr txBox="1"/>
      </cdr:nvSpPr>
      <cdr:spPr>
        <a:xfrm xmlns:a="http://schemas.openxmlformats.org/drawingml/2006/main">
          <a:off x="5724525" y="3343275"/>
          <a:ext cx="609600" cy="304800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t-BR" sz="1100"/>
            <a:t>late</a:t>
          </a:r>
        </a:p>
      </cdr:txBody>
    </cdr:sp>
  </cdr:relSizeAnchor>
  <cdr:relSizeAnchor xmlns:cdr="http://schemas.openxmlformats.org/drawingml/2006/chartDrawing">
    <cdr:from>
      <cdr:x>0.09626</cdr:x>
      <cdr:y>0.24703</cdr:y>
    </cdr:from>
    <cdr:to>
      <cdr:x>0.97988</cdr:x>
      <cdr:y>0.24941</cdr:y>
    </cdr:to>
    <cdr:sp macro="" textlink="">
      <cdr:nvSpPr>
        <cdr:cNvPr id="9" name="Conector reto 8"/>
        <cdr:cNvSpPr/>
      </cdr:nvSpPr>
      <cdr:spPr>
        <a:xfrm xmlns:a="http://schemas.openxmlformats.org/drawingml/2006/main">
          <a:off x="638174" y="990598"/>
          <a:ext cx="5857875" cy="9525"/>
        </a:xfrm>
        <a:prstGeom xmlns:a="http://schemas.openxmlformats.org/drawingml/2006/main" prst="line">
          <a:avLst/>
        </a:prstGeom>
        <a:ln xmlns:a="http://schemas.openxmlformats.org/drawingml/2006/main" w="28575">
          <a:solidFill>
            <a:srgbClr val="002060"/>
          </a:solidFill>
          <a:prstDash val="sysDash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pt-BR"/>
        </a:p>
      </cdr:txBody>
    </cdr:sp>
  </cdr:relSizeAnchor>
  <cdr:relSizeAnchor xmlns:cdr="http://schemas.openxmlformats.org/drawingml/2006/chartDrawing">
    <cdr:from>
      <cdr:x>0.23132</cdr:x>
      <cdr:y>0.14489</cdr:y>
    </cdr:from>
    <cdr:to>
      <cdr:x>0.30603</cdr:x>
      <cdr:y>0.24703</cdr:y>
    </cdr:to>
    <cdr:sp macro="" textlink="">
      <cdr:nvSpPr>
        <cdr:cNvPr id="11" name="Conector de seta reta 10"/>
        <cdr:cNvSpPr/>
      </cdr:nvSpPr>
      <cdr:spPr>
        <a:xfrm xmlns:a="http://schemas.openxmlformats.org/drawingml/2006/main" flipV="1">
          <a:off x="1533525" y="581024"/>
          <a:ext cx="495300" cy="409575"/>
        </a:xfrm>
        <a:prstGeom xmlns:a="http://schemas.openxmlformats.org/drawingml/2006/main" prst="straightConnector1">
          <a:avLst/>
        </a:prstGeom>
        <a:ln xmlns:a="http://schemas.openxmlformats.org/drawingml/2006/main">
          <a:solidFill>
            <a:schemeClr val="tx1"/>
          </a:solidFill>
          <a:tailEnd type="arrow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pt-BR"/>
        </a:p>
      </cdr:txBody>
    </cdr:sp>
  </cdr:relSizeAnchor>
  <cdr:relSizeAnchor xmlns:cdr="http://schemas.openxmlformats.org/drawingml/2006/chartDrawing">
    <cdr:from>
      <cdr:x>0.29598</cdr:x>
      <cdr:y>0.09976</cdr:y>
    </cdr:from>
    <cdr:to>
      <cdr:x>0.42921</cdr:x>
      <cdr:y>0.17868</cdr:y>
    </cdr:to>
    <cdr:sp macro="" textlink="">
      <cdr:nvSpPr>
        <cdr:cNvPr id="12" name="CaixaDeTexto 11"/>
        <cdr:cNvSpPr txBox="1"/>
      </cdr:nvSpPr>
      <cdr:spPr>
        <a:xfrm xmlns:a="http://schemas.openxmlformats.org/drawingml/2006/main">
          <a:off x="1598304" y="325858"/>
          <a:ext cx="719446" cy="25780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pt-BR" sz="1100"/>
            <a:t>brix</a:t>
          </a:r>
          <a:r>
            <a:rPr lang="pt-BR" sz="1100" baseline="0"/>
            <a:t> = 18</a:t>
          </a:r>
          <a:endParaRPr lang="pt-BR" sz="1100"/>
        </a:p>
      </cdr:txBody>
    </cdr:sp>
  </cdr:relSizeAnchor>
</c:userShape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324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</dc:creator>
  <cp:lastModifiedBy>Tadeu</cp:lastModifiedBy>
  <cp:revision>7</cp:revision>
  <dcterms:created xsi:type="dcterms:W3CDTF">2011-12-06T09:52:00Z</dcterms:created>
  <dcterms:modified xsi:type="dcterms:W3CDTF">2011-12-06T11:08:00Z</dcterms:modified>
</cp:coreProperties>
</file>