
<file path=[Content_Types].xml><?xml version="1.0" encoding="utf-8"?>
<Types xmlns="http://schemas.openxmlformats.org/package/2006/content-types">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856" w:rsidRPr="00526AA2" w:rsidRDefault="006D0856" w:rsidP="00753FA3">
      <w:pPr>
        <w:spacing w:line="480" w:lineRule="auto"/>
        <w:ind w:right="-1"/>
        <w:jc w:val="center"/>
        <w:rPr>
          <w:rFonts w:ascii="Times New Roman" w:hAnsi="Times New Roman"/>
          <w:b/>
          <w:noProof/>
          <w:sz w:val="24"/>
          <w:szCs w:val="24"/>
          <w:lang w:eastAsia="pt-BR"/>
        </w:rPr>
      </w:pPr>
      <w:r w:rsidRPr="00526AA2">
        <w:rPr>
          <w:rFonts w:ascii="Times New Roman" w:hAnsi="Times New Roman"/>
          <w:b/>
          <w:noProof/>
          <w:sz w:val="24"/>
          <w:szCs w:val="24"/>
          <w:lang w:eastAsia="pt-BR"/>
        </w:rPr>
        <w:t xml:space="preserve">Distribuição espacial do balanço hídrico climatológico em diferentes regimes de chuva no Estado de Pernambuco  </w:t>
      </w:r>
    </w:p>
    <w:p w:rsidR="006D0856" w:rsidRPr="00526AA2" w:rsidRDefault="006D0856" w:rsidP="00753FA3">
      <w:pPr>
        <w:spacing w:line="480" w:lineRule="auto"/>
        <w:ind w:right="-852"/>
        <w:rPr>
          <w:rFonts w:ascii="Times New Roman" w:hAnsi="Times New Roman"/>
          <w:b/>
          <w:noProof/>
          <w:sz w:val="24"/>
          <w:szCs w:val="24"/>
          <w:lang w:eastAsia="pt-BR"/>
        </w:rPr>
      </w:pPr>
    </w:p>
    <w:p w:rsidR="006D0856" w:rsidRPr="00526AA2" w:rsidRDefault="006D0856" w:rsidP="00753FA3">
      <w:pPr>
        <w:spacing w:line="480" w:lineRule="auto"/>
        <w:ind w:right="-1"/>
        <w:jc w:val="both"/>
        <w:rPr>
          <w:rFonts w:ascii="Times New Roman" w:hAnsi="Times New Roman"/>
          <w:b/>
          <w:noProof/>
          <w:sz w:val="24"/>
          <w:szCs w:val="24"/>
          <w:lang w:eastAsia="pt-BR"/>
        </w:rPr>
      </w:pPr>
      <w:r w:rsidRPr="00526AA2">
        <w:rPr>
          <w:rFonts w:ascii="Times New Roman" w:hAnsi="Times New Roman"/>
          <w:b/>
          <w:noProof/>
          <w:sz w:val="24"/>
          <w:szCs w:val="24"/>
          <w:lang w:eastAsia="pt-BR"/>
        </w:rPr>
        <w:t>Resumo:</w:t>
      </w:r>
      <w:r w:rsidRPr="00526AA2">
        <w:rPr>
          <w:rFonts w:ascii="Times New Roman" w:hAnsi="Times New Roman"/>
          <w:noProof/>
          <w:sz w:val="24"/>
          <w:szCs w:val="24"/>
          <w:lang w:eastAsia="pt-BR"/>
        </w:rPr>
        <w:t xml:space="preserve"> Saber as condições climáticas anuais é de grande valor para um planejamento agr</w:t>
      </w:r>
      <w:r>
        <w:rPr>
          <w:rFonts w:ascii="Times New Roman" w:hAnsi="Times New Roman"/>
          <w:noProof/>
          <w:sz w:val="24"/>
          <w:szCs w:val="24"/>
          <w:lang w:eastAsia="pt-BR"/>
        </w:rPr>
        <w:t>í</w:t>
      </w:r>
      <w:r w:rsidRPr="00526AA2">
        <w:rPr>
          <w:rFonts w:ascii="Times New Roman" w:hAnsi="Times New Roman"/>
          <w:noProof/>
          <w:sz w:val="24"/>
          <w:szCs w:val="24"/>
          <w:lang w:eastAsia="pt-BR"/>
        </w:rPr>
        <w:t xml:space="preserve">cola adequado. </w:t>
      </w:r>
      <w:r w:rsidRPr="00526AA2">
        <w:rPr>
          <w:rFonts w:ascii="Times New Roman" w:hAnsi="Times New Roman"/>
          <w:sz w:val="24"/>
          <w:szCs w:val="24"/>
        </w:rPr>
        <w:t xml:space="preserve">O estudo foi realizado no Estado de Pernambuco, </w:t>
      </w:r>
      <w:r>
        <w:rPr>
          <w:rFonts w:ascii="Times New Roman" w:hAnsi="Times New Roman"/>
          <w:sz w:val="24"/>
          <w:szCs w:val="24"/>
        </w:rPr>
        <w:t>com</w:t>
      </w:r>
      <w:r w:rsidRPr="00526AA2">
        <w:rPr>
          <w:rFonts w:ascii="Times New Roman" w:hAnsi="Times New Roman"/>
          <w:sz w:val="24"/>
          <w:szCs w:val="24"/>
        </w:rPr>
        <w:t xml:space="preserve"> bancos de dados </w:t>
      </w:r>
      <w:r>
        <w:rPr>
          <w:rFonts w:ascii="Times New Roman" w:hAnsi="Times New Roman"/>
          <w:sz w:val="24"/>
          <w:szCs w:val="24"/>
        </w:rPr>
        <w:t>de temperatura e de precipitação pluvial de</w:t>
      </w:r>
      <w:r w:rsidRPr="00526AA2">
        <w:rPr>
          <w:rFonts w:ascii="Times New Roman" w:hAnsi="Times New Roman"/>
          <w:sz w:val="24"/>
          <w:szCs w:val="24"/>
        </w:rPr>
        <w:t xml:space="preserve"> séries históricas de no mínimo 20 anos de observaçõe</w:t>
      </w:r>
      <w:r>
        <w:rPr>
          <w:rFonts w:ascii="Times New Roman" w:hAnsi="Times New Roman"/>
          <w:sz w:val="24"/>
          <w:szCs w:val="24"/>
        </w:rPr>
        <w:t>s de</w:t>
      </w:r>
      <w:r w:rsidRPr="00526AA2">
        <w:rPr>
          <w:rFonts w:ascii="Times New Roman" w:hAnsi="Times New Roman"/>
          <w:sz w:val="24"/>
          <w:szCs w:val="24"/>
        </w:rPr>
        <w:t xml:space="preserve"> 45 estaç</w:t>
      </w:r>
      <w:r>
        <w:rPr>
          <w:rFonts w:ascii="Times New Roman" w:hAnsi="Times New Roman"/>
          <w:sz w:val="24"/>
          <w:szCs w:val="24"/>
        </w:rPr>
        <w:t>ões climatológicas.</w:t>
      </w:r>
      <w:r w:rsidRPr="00526AA2">
        <w:rPr>
          <w:rFonts w:ascii="Times New Roman" w:hAnsi="Times New Roman"/>
          <w:sz w:val="24"/>
          <w:szCs w:val="24"/>
        </w:rPr>
        <w:t xml:space="preserve"> </w:t>
      </w:r>
      <w:r>
        <w:rPr>
          <w:rFonts w:ascii="Times New Roman" w:hAnsi="Times New Roman"/>
          <w:sz w:val="24"/>
          <w:szCs w:val="24"/>
        </w:rPr>
        <w:t>A</w:t>
      </w:r>
      <w:r w:rsidRPr="00526AA2">
        <w:rPr>
          <w:rFonts w:ascii="Times New Roman" w:hAnsi="Times New Roman"/>
          <w:sz w:val="24"/>
          <w:szCs w:val="24"/>
        </w:rPr>
        <w:t xml:space="preserve"> função de densidade de probabilidade da distribuição gama incompleta foi utilizada para avaliar a ocorrência de anos secos, normais e chuvosos</w:t>
      </w:r>
      <w:r>
        <w:rPr>
          <w:rFonts w:ascii="Times New Roman" w:hAnsi="Times New Roman"/>
          <w:sz w:val="24"/>
          <w:szCs w:val="24"/>
        </w:rPr>
        <w:t>. O</w:t>
      </w:r>
      <w:r w:rsidRPr="00526AA2">
        <w:rPr>
          <w:rFonts w:ascii="Times New Roman" w:hAnsi="Times New Roman"/>
          <w:sz w:val="24"/>
          <w:szCs w:val="24"/>
        </w:rPr>
        <w:t xml:space="preserve"> b</w:t>
      </w:r>
      <w:r>
        <w:rPr>
          <w:rFonts w:ascii="Times New Roman" w:hAnsi="Times New Roman"/>
          <w:sz w:val="24"/>
          <w:szCs w:val="24"/>
        </w:rPr>
        <w:t>alanço hídrico climático mensal foi estimado</w:t>
      </w:r>
      <w:r w:rsidRPr="00526AA2">
        <w:rPr>
          <w:rFonts w:ascii="Times New Roman" w:hAnsi="Times New Roman"/>
          <w:sz w:val="24"/>
          <w:szCs w:val="24"/>
        </w:rPr>
        <w:t xml:space="preserve"> pelo método proposto por Thornthwaite &amp; Mather (1955)</w:t>
      </w:r>
      <w:r>
        <w:rPr>
          <w:rStyle w:val="style51"/>
          <w:rFonts w:ascii="Times New Roman" w:hAnsi="Times New Roman"/>
          <w:sz w:val="24"/>
          <w:szCs w:val="24"/>
        </w:rPr>
        <w:t xml:space="preserve"> e a</w:t>
      </w:r>
      <w:r w:rsidRPr="00526AA2">
        <w:rPr>
          <w:rStyle w:val="style51"/>
          <w:rFonts w:ascii="Times New Roman" w:hAnsi="Times New Roman"/>
          <w:sz w:val="24"/>
          <w:szCs w:val="24"/>
        </w:rPr>
        <w:t xml:space="preserve"> interpolação dos dados para a </w:t>
      </w:r>
      <w:proofErr w:type="spellStart"/>
      <w:r w:rsidRPr="00526AA2">
        <w:rPr>
          <w:rStyle w:val="style51"/>
          <w:rFonts w:ascii="Times New Roman" w:hAnsi="Times New Roman"/>
          <w:sz w:val="24"/>
          <w:szCs w:val="24"/>
        </w:rPr>
        <w:t>plotagem</w:t>
      </w:r>
      <w:proofErr w:type="spellEnd"/>
      <w:r w:rsidRPr="00526AA2">
        <w:rPr>
          <w:rStyle w:val="style51"/>
          <w:rFonts w:ascii="Times New Roman" w:hAnsi="Times New Roman"/>
          <w:sz w:val="24"/>
          <w:szCs w:val="24"/>
        </w:rPr>
        <w:t xml:space="preserve"> foi feita utilizando o Método de </w:t>
      </w:r>
      <w:proofErr w:type="spellStart"/>
      <w:r w:rsidRPr="00526AA2">
        <w:rPr>
          <w:rStyle w:val="style51"/>
          <w:rFonts w:ascii="Times New Roman" w:hAnsi="Times New Roman"/>
          <w:sz w:val="24"/>
          <w:szCs w:val="24"/>
        </w:rPr>
        <w:t>Krigagem</w:t>
      </w:r>
      <w:proofErr w:type="spellEnd"/>
      <w:r w:rsidRPr="00526AA2">
        <w:rPr>
          <w:rStyle w:val="style51"/>
          <w:rFonts w:ascii="Times New Roman" w:hAnsi="Times New Roman"/>
          <w:sz w:val="24"/>
          <w:szCs w:val="24"/>
        </w:rPr>
        <w:t xml:space="preserve">. Os resultados indicaram que </w:t>
      </w:r>
      <w:r w:rsidRPr="00526AA2">
        <w:rPr>
          <w:rFonts w:ascii="Times New Roman" w:hAnsi="Times New Roman"/>
          <w:sz w:val="24"/>
          <w:szCs w:val="24"/>
          <w:lang w:eastAsia="pt-BR"/>
        </w:rPr>
        <w:t>as maiores precipitações ocorreram na Zona da Mata Sul do Estado com cerca de 2800 mm ano</w:t>
      </w:r>
      <w:r w:rsidRPr="00526AA2">
        <w:rPr>
          <w:rFonts w:ascii="Times New Roman" w:hAnsi="Times New Roman"/>
          <w:sz w:val="24"/>
          <w:szCs w:val="24"/>
          <w:vertAlign w:val="superscript"/>
          <w:lang w:eastAsia="pt-BR"/>
        </w:rPr>
        <w:t>-1</w:t>
      </w:r>
      <w:r w:rsidRPr="00526AA2">
        <w:rPr>
          <w:rFonts w:ascii="Times New Roman" w:hAnsi="Times New Roman"/>
          <w:sz w:val="24"/>
          <w:szCs w:val="24"/>
          <w:lang w:eastAsia="pt-BR"/>
        </w:rPr>
        <w:t>.</w:t>
      </w:r>
      <w:r w:rsidRPr="00526AA2">
        <w:rPr>
          <w:rStyle w:val="style51"/>
          <w:rFonts w:ascii="Times New Roman" w:hAnsi="Times New Roman"/>
          <w:sz w:val="24"/>
          <w:szCs w:val="24"/>
        </w:rPr>
        <w:t xml:space="preserve"> </w:t>
      </w:r>
      <w:r w:rsidRPr="00526AA2">
        <w:rPr>
          <w:rFonts w:ascii="Times New Roman" w:hAnsi="Times New Roman"/>
          <w:sz w:val="24"/>
          <w:szCs w:val="24"/>
          <w:lang w:eastAsia="pt-BR"/>
        </w:rPr>
        <w:t>O Excedente hídrico apresentado atingiu seus maiores índic</w:t>
      </w:r>
      <w:r>
        <w:rPr>
          <w:rFonts w:ascii="Times New Roman" w:hAnsi="Times New Roman"/>
          <w:sz w:val="24"/>
          <w:szCs w:val="24"/>
          <w:lang w:eastAsia="pt-BR"/>
        </w:rPr>
        <w:t>es na Messoregião da Zona da Mata</w:t>
      </w:r>
      <w:r w:rsidRPr="00526AA2">
        <w:rPr>
          <w:rFonts w:ascii="Times New Roman" w:hAnsi="Times New Roman"/>
          <w:sz w:val="24"/>
          <w:szCs w:val="24"/>
          <w:lang w:eastAsia="pt-BR"/>
        </w:rPr>
        <w:t xml:space="preserve"> com disponibilidade de quase 1200 mm ano</w:t>
      </w:r>
      <w:r w:rsidRPr="00526AA2">
        <w:rPr>
          <w:rFonts w:ascii="Times New Roman" w:hAnsi="Times New Roman"/>
          <w:sz w:val="24"/>
          <w:szCs w:val="24"/>
          <w:vertAlign w:val="superscript"/>
          <w:lang w:eastAsia="pt-BR"/>
        </w:rPr>
        <w:t>-1</w:t>
      </w:r>
      <w:r w:rsidRPr="00526AA2">
        <w:rPr>
          <w:rFonts w:ascii="Times New Roman" w:hAnsi="Times New Roman"/>
          <w:sz w:val="24"/>
          <w:szCs w:val="24"/>
          <w:lang w:eastAsia="pt-BR"/>
        </w:rPr>
        <w:t xml:space="preserve"> para anos chuvosos e </w:t>
      </w:r>
      <w:r w:rsidRPr="00526AA2">
        <w:rPr>
          <w:rFonts w:ascii="Times New Roman" w:hAnsi="Times New Roman"/>
          <w:noProof/>
          <w:sz w:val="24"/>
          <w:szCs w:val="24"/>
          <w:lang w:eastAsia="pt-BR"/>
        </w:rPr>
        <w:t>o defici</w:t>
      </w:r>
      <w:r>
        <w:rPr>
          <w:rFonts w:ascii="Times New Roman" w:hAnsi="Times New Roman"/>
          <w:noProof/>
          <w:sz w:val="24"/>
          <w:szCs w:val="24"/>
          <w:lang w:eastAsia="pt-BR"/>
        </w:rPr>
        <w:t>t hídrico apresentou-se maior nas Mesorregiões do</w:t>
      </w:r>
      <w:r w:rsidRPr="00526AA2">
        <w:rPr>
          <w:rFonts w:ascii="Times New Roman" w:hAnsi="Times New Roman"/>
          <w:noProof/>
          <w:sz w:val="24"/>
          <w:szCs w:val="24"/>
          <w:lang w:eastAsia="pt-BR"/>
        </w:rPr>
        <w:t xml:space="preserve"> Sertão do São Francisco e Sertão alcançando os 1000 mm ano</w:t>
      </w:r>
      <w:r w:rsidRPr="00526AA2">
        <w:rPr>
          <w:rFonts w:ascii="Times New Roman" w:hAnsi="Times New Roman"/>
          <w:noProof/>
          <w:sz w:val="24"/>
          <w:szCs w:val="24"/>
          <w:vertAlign w:val="superscript"/>
          <w:lang w:eastAsia="pt-BR"/>
        </w:rPr>
        <w:t>-1</w:t>
      </w:r>
      <w:r>
        <w:rPr>
          <w:rFonts w:ascii="Times New Roman" w:hAnsi="Times New Roman"/>
          <w:noProof/>
          <w:sz w:val="24"/>
          <w:szCs w:val="24"/>
          <w:lang w:eastAsia="pt-BR"/>
        </w:rPr>
        <w:t>, sendo exigido irrigação plena para cultivo</w:t>
      </w:r>
      <w:r w:rsidRPr="00526AA2">
        <w:rPr>
          <w:rFonts w:ascii="Times New Roman" w:hAnsi="Times New Roman"/>
          <w:noProof/>
          <w:sz w:val="24"/>
          <w:szCs w:val="24"/>
          <w:lang w:eastAsia="pt-BR"/>
        </w:rPr>
        <w:t>.</w:t>
      </w:r>
    </w:p>
    <w:p w:rsidR="006D0856" w:rsidRPr="00EA70A1" w:rsidRDefault="006D0856" w:rsidP="00753FA3">
      <w:pPr>
        <w:spacing w:line="480" w:lineRule="auto"/>
        <w:ind w:right="-852"/>
        <w:rPr>
          <w:rFonts w:ascii="Times New Roman" w:hAnsi="Times New Roman"/>
          <w:noProof/>
          <w:sz w:val="24"/>
          <w:szCs w:val="24"/>
          <w:lang w:eastAsia="pt-BR"/>
        </w:rPr>
      </w:pPr>
      <w:r w:rsidRPr="00526AA2">
        <w:rPr>
          <w:rFonts w:ascii="Times New Roman" w:hAnsi="Times New Roman"/>
          <w:b/>
          <w:noProof/>
          <w:sz w:val="24"/>
          <w:szCs w:val="24"/>
          <w:lang w:eastAsia="pt-BR"/>
        </w:rPr>
        <w:t>Palavra-chave:</w:t>
      </w:r>
      <w:r>
        <w:rPr>
          <w:rFonts w:ascii="Times New Roman" w:hAnsi="Times New Roman"/>
          <w:b/>
          <w:noProof/>
          <w:sz w:val="24"/>
          <w:szCs w:val="24"/>
          <w:lang w:eastAsia="pt-BR"/>
        </w:rPr>
        <w:t xml:space="preserve"> </w:t>
      </w:r>
      <w:r>
        <w:rPr>
          <w:rFonts w:ascii="Times New Roman" w:hAnsi="Times New Roman"/>
          <w:noProof/>
          <w:sz w:val="24"/>
          <w:szCs w:val="24"/>
          <w:lang w:eastAsia="pt-BR"/>
        </w:rPr>
        <w:t>Deficit hídrico, evapotranspiração, irrigação.</w:t>
      </w:r>
    </w:p>
    <w:p w:rsidR="006D0856" w:rsidRDefault="006D0856" w:rsidP="00753FA3">
      <w:pPr>
        <w:spacing w:line="480" w:lineRule="auto"/>
        <w:ind w:right="-852"/>
        <w:rPr>
          <w:rFonts w:ascii="Times New Roman" w:hAnsi="Times New Roman"/>
          <w:b/>
          <w:noProof/>
          <w:sz w:val="24"/>
          <w:szCs w:val="24"/>
          <w:lang w:eastAsia="pt-BR"/>
        </w:rPr>
      </w:pPr>
    </w:p>
    <w:p w:rsidR="006D0856" w:rsidRPr="0015518C" w:rsidRDefault="006D0856" w:rsidP="00753FA3">
      <w:pPr>
        <w:spacing w:line="480" w:lineRule="auto"/>
        <w:ind w:right="-1"/>
        <w:jc w:val="center"/>
        <w:rPr>
          <w:rFonts w:ascii="Times New Roman" w:hAnsi="Times New Roman"/>
          <w:b/>
          <w:noProof/>
          <w:sz w:val="24"/>
          <w:szCs w:val="24"/>
          <w:lang w:val="en-US" w:eastAsia="pt-BR"/>
        </w:rPr>
      </w:pPr>
      <w:r w:rsidRPr="0015518C">
        <w:rPr>
          <w:rStyle w:val="hps"/>
          <w:rFonts w:ascii="Times New Roman" w:hAnsi="Times New Roman"/>
          <w:b/>
          <w:sz w:val="24"/>
          <w:szCs w:val="24"/>
          <w:lang w:val="en-US"/>
        </w:rPr>
        <w:t>Spatial distribution of</w:t>
      </w:r>
      <w:r w:rsidRPr="0015518C">
        <w:rPr>
          <w:rFonts w:ascii="Times New Roman" w:hAnsi="Times New Roman"/>
          <w:b/>
          <w:sz w:val="24"/>
          <w:szCs w:val="24"/>
          <w:lang w:val="en-US"/>
        </w:rPr>
        <w:t xml:space="preserve"> </w:t>
      </w:r>
      <w:r w:rsidRPr="0015518C">
        <w:rPr>
          <w:rStyle w:val="hps"/>
          <w:rFonts w:ascii="Times New Roman" w:hAnsi="Times New Roman"/>
          <w:b/>
          <w:sz w:val="24"/>
          <w:szCs w:val="24"/>
          <w:lang w:val="en-US"/>
        </w:rPr>
        <w:t>climatic water balance</w:t>
      </w:r>
      <w:r w:rsidRPr="0015518C">
        <w:rPr>
          <w:rFonts w:ascii="Times New Roman" w:hAnsi="Times New Roman"/>
          <w:b/>
          <w:sz w:val="24"/>
          <w:szCs w:val="24"/>
          <w:lang w:val="en-US"/>
        </w:rPr>
        <w:t xml:space="preserve"> </w:t>
      </w:r>
      <w:r w:rsidRPr="0015518C">
        <w:rPr>
          <w:rStyle w:val="hps"/>
          <w:rFonts w:ascii="Times New Roman" w:hAnsi="Times New Roman"/>
          <w:b/>
          <w:sz w:val="24"/>
          <w:szCs w:val="24"/>
          <w:lang w:val="en-US"/>
        </w:rPr>
        <w:t>in different</w:t>
      </w:r>
      <w:r w:rsidRPr="0015518C">
        <w:rPr>
          <w:rFonts w:ascii="Times New Roman" w:hAnsi="Times New Roman"/>
          <w:b/>
          <w:sz w:val="24"/>
          <w:szCs w:val="24"/>
          <w:lang w:val="en-US"/>
        </w:rPr>
        <w:t xml:space="preserve"> </w:t>
      </w:r>
      <w:r w:rsidRPr="0015518C">
        <w:rPr>
          <w:rStyle w:val="hps"/>
          <w:rFonts w:ascii="Times New Roman" w:hAnsi="Times New Roman"/>
          <w:b/>
          <w:sz w:val="24"/>
          <w:szCs w:val="24"/>
          <w:lang w:val="en-US"/>
        </w:rPr>
        <w:t>rainfall</w:t>
      </w:r>
      <w:r w:rsidRPr="0015518C">
        <w:rPr>
          <w:rFonts w:ascii="Times New Roman" w:hAnsi="Times New Roman"/>
          <w:b/>
          <w:sz w:val="24"/>
          <w:szCs w:val="24"/>
          <w:lang w:val="en-US"/>
        </w:rPr>
        <w:t xml:space="preserve"> </w:t>
      </w:r>
      <w:r w:rsidRPr="0015518C">
        <w:rPr>
          <w:rStyle w:val="hps"/>
          <w:rFonts w:ascii="Times New Roman" w:hAnsi="Times New Roman"/>
          <w:b/>
          <w:sz w:val="24"/>
          <w:szCs w:val="24"/>
          <w:lang w:val="en-US"/>
        </w:rPr>
        <w:t>regimes</w:t>
      </w:r>
      <w:r w:rsidRPr="0015518C">
        <w:rPr>
          <w:rFonts w:ascii="Times New Roman" w:hAnsi="Times New Roman"/>
          <w:b/>
          <w:sz w:val="24"/>
          <w:szCs w:val="24"/>
          <w:lang w:val="en-US"/>
        </w:rPr>
        <w:t xml:space="preserve"> </w:t>
      </w:r>
      <w:r w:rsidRPr="0015518C">
        <w:rPr>
          <w:rStyle w:val="hps"/>
          <w:rFonts w:ascii="Times New Roman" w:hAnsi="Times New Roman"/>
          <w:b/>
          <w:sz w:val="24"/>
          <w:szCs w:val="24"/>
          <w:lang w:val="en-US"/>
        </w:rPr>
        <w:t>in the State of</w:t>
      </w:r>
      <w:r w:rsidRPr="0015518C">
        <w:rPr>
          <w:rFonts w:ascii="Times New Roman" w:hAnsi="Times New Roman"/>
          <w:b/>
          <w:sz w:val="24"/>
          <w:szCs w:val="24"/>
          <w:lang w:val="en-US"/>
        </w:rPr>
        <w:t xml:space="preserve"> </w:t>
      </w:r>
      <w:r w:rsidRPr="0015518C">
        <w:rPr>
          <w:rStyle w:val="hps"/>
          <w:rFonts w:ascii="Times New Roman" w:hAnsi="Times New Roman"/>
          <w:b/>
          <w:sz w:val="24"/>
          <w:szCs w:val="24"/>
          <w:lang w:val="en-US"/>
        </w:rPr>
        <w:t>Pernambuco</w:t>
      </w:r>
    </w:p>
    <w:p w:rsidR="006D0856" w:rsidRPr="00FD56FA" w:rsidRDefault="006D0856" w:rsidP="00753FA3">
      <w:pPr>
        <w:spacing w:line="480" w:lineRule="auto"/>
        <w:jc w:val="both"/>
        <w:rPr>
          <w:rFonts w:ascii="Times New Roman" w:eastAsia="Times New Roman" w:hAnsi="Times New Roman"/>
          <w:sz w:val="24"/>
          <w:szCs w:val="24"/>
          <w:lang w:val="en-US" w:eastAsia="pt-BR"/>
        </w:rPr>
      </w:pPr>
      <w:r w:rsidRPr="00FD56FA">
        <w:rPr>
          <w:rStyle w:val="hps"/>
          <w:rFonts w:ascii="Times New Roman" w:hAnsi="Times New Roman"/>
          <w:b/>
          <w:sz w:val="24"/>
          <w:szCs w:val="24"/>
          <w:lang w:val="en-US"/>
        </w:rPr>
        <w:t>A</w:t>
      </w:r>
      <w:r w:rsidR="003017D0" w:rsidRPr="00FD56FA">
        <w:rPr>
          <w:rStyle w:val="hps"/>
          <w:rFonts w:ascii="Times New Roman" w:hAnsi="Times New Roman"/>
          <w:b/>
          <w:sz w:val="24"/>
          <w:szCs w:val="24"/>
          <w:lang w:val="en-US"/>
        </w:rPr>
        <w:t>bstract</w:t>
      </w:r>
      <w:r w:rsidRPr="00FD56FA">
        <w:rPr>
          <w:rStyle w:val="hps"/>
          <w:rFonts w:ascii="Times New Roman" w:hAnsi="Times New Roman"/>
          <w:b/>
          <w:sz w:val="24"/>
          <w:szCs w:val="24"/>
          <w:lang w:val="en-US"/>
        </w:rPr>
        <w:t>:</w:t>
      </w:r>
      <w:r w:rsidRPr="00FD56FA">
        <w:rPr>
          <w:rStyle w:val="hps"/>
          <w:rFonts w:ascii="Times New Roman" w:hAnsi="Times New Roman"/>
          <w:sz w:val="24"/>
          <w:szCs w:val="24"/>
          <w:lang w:val="en-US"/>
        </w:rPr>
        <w:t xml:space="preserve"> Know</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the</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weather</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year</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to</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year</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is of</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great</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value</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to</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a</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proper</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agricultural</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planning</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The study</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was</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conducted</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in</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the State</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of Pernambuco</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with</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databases</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of</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temperature</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and</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precipitation</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time series of</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at</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least 20</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years of observations of</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45</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lastRenderedPageBreak/>
        <w:t>meteorological stations</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The</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probability density</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function</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of the</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incomplete</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gamma distribution</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was used</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to evaluate</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the occurrence</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of</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dry</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years</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normal</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and</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wet</w:t>
      </w:r>
      <w:r w:rsidRPr="00FD56FA">
        <w:rPr>
          <w:rFonts w:ascii="Times New Roman" w:hAnsi="Times New Roman"/>
          <w:sz w:val="24"/>
          <w:szCs w:val="24"/>
          <w:lang w:val="en-US"/>
        </w:rPr>
        <w:t xml:space="preserve">. </w:t>
      </w:r>
      <w:r w:rsidRPr="00FD56FA">
        <w:rPr>
          <w:rFonts w:ascii="Times New Roman" w:eastAsia="Times New Roman" w:hAnsi="Times New Roman"/>
          <w:sz w:val="24"/>
          <w:szCs w:val="24"/>
          <w:lang w:val="en-US" w:eastAsia="pt-BR"/>
        </w:rPr>
        <w:t xml:space="preserve">The monthly climatic water balance was estimated by the method proposed by Thornthwaite (1955) and interpolation of data for the plot was made using the </w:t>
      </w:r>
      <w:proofErr w:type="spellStart"/>
      <w:r w:rsidRPr="00FD56FA">
        <w:rPr>
          <w:rFonts w:ascii="Times New Roman" w:eastAsia="Times New Roman" w:hAnsi="Times New Roman"/>
          <w:sz w:val="24"/>
          <w:szCs w:val="24"/>
          <w:lang w:val="en-US" w:eastAsia="pt-BR"/>
        </w:rPr>
        <w:t>Kriging</w:t>
      </w:r>
      <w:proofErr w:type="spellEnd"/>
      <w:r w:rsidRPr="00FD56FA">
        <w:rPr>
          <w:rFonts w:ascii="Times New Roman" w:eastAsia="Times New Roman" w:hAnsi="Times New Roman"/>
          <w:sz w:val="24"/>
          <w:szCs w:val="24"/>
          <w:lang w:val="en-US" w:eastAsia="pt-BR"/>
        </w:rPr>
        <w:t xml:space="preserve"> method. </w:t>
      </w:r>
      <w:r w:rsidRPr="00FD56FA">
        <w:rPr>
          <w:rStyle w:val="hps"/>
          <w:rFonts w:ascii="Times New Roman" w:hAnsi="Times New Roman"/>
          <w:sz w:val="24"/>
          <w:szCs w:val="24"/>
          <w:lang w:val="en-US"/>
        </w:rPr>
        <w:t>The results</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indicated</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that</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the</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highest</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rainfall</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occurred</w:t>
      </w:r>
      <w:r w:rsidRPr="00FD56FA">
        <w:rPr>
          <w:rFonts w:ascii="Times New Roman" w:hAnsi="Times New Roman"/>
          <w:sz w:val="24"/>
          <w:szCs w:val="24"/>
          <w:lang w:val="en-US"/>
        </w:rPr>
        <w:t xml:space="preserve"> </w:t>
      </w:r>
      <w:r>
        <w:rPr>
          <w:rStyle w:val="hps"/>
          <w:rFonts w:ascii="Times New Roman" w:hAnsi="Times New Roman"/>
          <w:sz w:val="24"/>
          <w:szCs w:val="24"/>
          <w:lang w:val="en-US"/>
        </w:rPr>
        <w:t>in the Zone</w:t>
      </w:r>
      <w:r w:rsidRPr="00FD56FA">
        <w:rPr>
          <w:rStyle w:val="hps"/>
          <w:rFonts w:ascii="Times New Roman" w:hAnsi="Times New Roman"/>
          <w:sz w:val="24"/>
          <w:szCs w:val="24"/>
          <w:lang w:val="en-US"/>
        </w:rPr>
        <w:t xml:space="preserve"> </w:t>
      </w:r>
      <w:r>
        <w:rPr>
          <w:rStyle w:val="hps"/>
          <w:rFonts w:ascii="Times New Roman" w:hAnsi="Times New Roman"/>
          <w:sz w:val="24"/>
          <w:szCs w:val="24"/>
          <w:lang w:val="en-US"/>
        </w:rPr>
        <w:t>of forest</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S</w:t>
      </w:r>
      <w:r>
        <w:rPr>
          <w:rStyle w:val="hps"/>
          <w:rFonts w:ascii="Times New Roman" w:hAnsi="Times New Roman"/>
          <w:sz w:val="24"/>
          <w:szCs w:val="24"/>
          <w:lang w:val="en-US"/>
        </w:rPr>
        <w:t>outh</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state</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with</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about</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2800</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mm</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year</w:t>
      </w:r>
      <w:r w:rsidRPr="00FD56FA">
        <w:rPr>
          <w:rFonts w:ascii="Times New Roman" w:hAnsi="Times New Roman"/>
          <w:sz w:val="24"/>
          <w:szCs w:val="24"/>
          <w:vertAlign w:val="superscript"/>
          <w:lang w:val="en-US"/>
        </w:rPr>
        <w:t>-1</w:t>
      </w:r>
      <w:r w:rsidRPr="00FD56FA">
        <w:rPr>
          <w:rFonts w:ascii="Times New Roman" w:hAnsi="Times New Roman"/>
          <w:sz w:val="24"/>
          <w:szCs w:val="24"/>
          <w:lang w:val="en-US"/>
        </w:rPr>
        <w:t xml:space="preserve">. </w:t>
      </w:r>
      <w:r w:rsidRPr="00FD56FA">
        <w:rPr>
          <w:rFonts w:ascii="Times New Roman" w:eastAsia="Times New Roman" w:hAnsi="Times New Roman"/>
          <w:sz w:val="24"/>
          <w:szCs w:val="24"/>
          <w:lang w:val="en-US" w:eastAsia="pt-BR"/>
        </w:rPr>
        <w:t xml:space="preserve">The water made </w:t>
      </w:r>
      <w:r w:rsidRPr="00FD56FA">
        <w:rPr>
          <w:rFonts w:ascii="Cambria Math" w:eastAsia="Times New Roman" w:hAnsi="Cambria Math"/>
          <w:sz w:val="24"/>
          <w:szCs w:val="24"/>
          <w:lang w:val="en-US" w:eastAsia="pt-BR"/>
        </w:rPr>
        <w:t>​​</w:t>
      </w:r>
      <w:r w:rsidRPr="00FD56FA">
        <w:rPr>
          <w:rFonts w:ascii="Times New Roman" w:eastAsia="Times New Roman" w:hAnsi="Times New Roman"/>
          <w:sz w:val="24"/>
          <w:szCs w:val="24"/>
          <w:lang w:val="en-US" w:eastAsia="pt-BR"/>
        </w:rPr>
        <w:t>surplus hit its highest l</w:t>
      </w:r>
      <w:r>
        <w:rPr>
          <w:rFonts w:ascii="Times New Roman" w:eastAsia="Times New Roman" w:hAnsi="Times New Roman"/>
          <w:sz w:val="24"/>
          <w:szCs w:val="24"/>
          <w:lang w:val="en-US" w:eastAsia="pt-BR"/>
        </w:rPr>
        <w:t xml:space="preserve">evels in the </w:t>
      </w:r>
      <w:proofErr w:type="spellStart"/>
      <w:r>
        <w:rPr>
          <w:rFonts w:ascii="Times New Roman" w:eastAsia="Times New Roman" w:hAnsi="Times New Roman"/>
          <w:sz w:val="24"/>
          <w:szCs w:val="24"/>
          <w:lang w:val="en-US" w:eastAsia="pt-BR"/>
        </w:rPr>
        <w:t>Mesorregion</w:t>
      </w:r>
      <w:proofErr w:type="spellEnd"/>
      <w:r>
        <w:rPr>
          <w:rFonts w:ascii="Times New Roman" w:eastAsia="Times New Roman" w:hAnsi="Times New Roman"/>
          <w:sz w:val="24"/>
          <w:szCs w:val="24"/>
          <w:lang w:val="en-US" w:eastAsia="pt-BR"/>
        </w:rPr>
        <w:t xml:space="preserve"> of zone of Forest</w:t>
      </w:r>
      <w:r w:rsidRPr="00FD56FA">
        <w:rPr>
          <w:rFonts w:ascii="Times New Roman" w:eastAsia="Times New Roman" w:hAnsi="Times New Roman"/>
          <w:sz w:val="24"/>
          <w:szCs w:val="24"/>
          <w:lang w:val="en-US" w:eastAsia="pt-BR"/>
        </w:rPr>
        <w:t xml:space="preserve"> with availability of nearly 1200 mm year</w:t>
      </w:r>
      <w:r w:rsidRPr="00FD56FA">
        <w:rPr>
          <w:rFonts w:ascii="Times New Roman" w:eastAsia="Times New Roman" w:hAnsi="Times New Roman"/>
          <w:sz w:val="24"/>
          <w:szCs w:val="24"/>
          <w:vertAlign w:val="superscript"/>
          <w:lang w:val="en-US" w:eastAsia="pt-BR"/>
        </w:rPr>
        <w:t>-1</w:t>
      </w:r>
      <w:r w:rsidRPr="00FD56FA">
        <w:rPr>
          <w:rFonts w:ascii="Times New Roman" w:eastAsia="Times New Roman" w:hAnsi="Times New Roman"/>
          <w:sz w:val="24"/>
          <w:szCs w:val="24"/>
          <w:lang w:val="en-US" w:eastAsia="pt-BR"/>
        </w:rPr>
        <w:t xml:space="preserve"> </w:t>
      </w:r>
      <w:r w:rsidRPr="00FD56FA">
        <w:rPr>
          <w:rStyle w:val="hps"/>
          <w:rFonts w:ascii="Times New Roman" w:hAnsi="Times New Roman"/>
          <w:sz w:val="24"/>
          <w:szCs w:val="24"/>
          <w:lang w:val="en-US"/>
        </w:rPr>
        <w:t>to</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wet years</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and</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water deficit</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presented</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higher</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in</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the</w:t>
      </w:r>
      <w:r w:rsidRPr="00FD56FA">
        <w:rPr>
          <w:rFonts w:ascii="Times New Roman" w:hAnsi="Times New Roman"/>
          <w:sz w:val="24"/>
          <w:szCs w:val="24"/>
          <w:lang w:val="en-US"/>
        </w:rPr>
        <w:t xml:space="preserve"> </w:t>
      </w:r>
      <w:proofErr w:type="spellStart"/>
      <w:r>
        <w:rPr>
          <w:rStyle w:val="hps"/>
          <w:rFonts w:ascii="Times New Roman" w:hAnsi="Times New Roman"/>
          <w:sz w:val="24"/>
          <w:szCs w:val="24"/>
          <w:lang w:val="en-US"/>
        </w:rPr>
        <w:t>Sertão</w:t>
      </w:r>
      <w:proofErr w:type="spellEnd"/>
      <w:r w:rsidRPr="00FD56FA">
        <w:rPr>
          <w:rFonts w:ascii="Times New Roman" w:hAnsi="Times New Roman"/>
          <w:sz w:val="24"/>
          <w:szCs w:val="24"/>
          <w:lang w:val="en-US"/>
        </w:rPr>
        <w:t xml:space="preserve"> </w:t>
      </w:r>
      <w:proofErr w:type="spellStart"/>
      <w:r w:rsidRPr="00FD56FA">
        <w:rPr>
          <w:rStyle w:val="hps"/>
          <w:rFonts w:ascii="Times New Roman" w:hAnsi="Times New Roman"/>
          <w:sz w:val="24"/>
          <w:szCs w:val="24"/>
          <w:lang w:val="en-US"/>
        </w:rPr>
        <w:t>Mesoregions</w:t>
      </w:r>
      <w:proofErr w:type="spellEnd"/>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of</w:t>
      </w:r>
      <w:r w:rsidRPr="00FD56FA">
        <w:rPr>
          <w:rFonts w:ascii="Times New Roman" w:hAnsi="Times New Roman"/>
          <w:sz w:val="24"/>
          <w:szCs w:val="24"/>
          <w:lang w:val="en-US"/>
        </w:rPr>
        <w:t xml:space="preserve"> </w:t>
      </w:r>
      <w:proofErr w:type="spellStart"/>
      <w:r>
        <w:rPr>
          <w:rFonts w:ascii="Times New Roman" w:hAnsi="Times New Roman"/>
          <w:sz w:val="24"/>
          <w:szCs w:val="24"/>
          <w:lang w:val="en-US"/>
        </w:rPr>
        <w:t>Sertão</w:t>
      </w:r>
      <w:proofErr w:type="spellEnd"/>
      <w:r>
        <w:rPr>
          <w:rFonts w:ascii="Times New Roman" w:hAnsi="Times New Roman"/>
          <w:sz w:val="24"/>
          <w:szCs w:val="24"/>
          <w:lang w:val="en-US"/>
        </w:rPr>
        <w:t xml:space="preserve"> of </w:t>
      </w:r>
      <w:r w:rsidRPr="00FD56FA">
        <w:rPr>
          <w:rStyle w:val="hps"/>
          <w:rFonts w:ascii="Times New Roman" w:hAnsi="Times New Roman"/>
          <w:sz w:val="24"/>
          <w:szCs w:val="24"/>
          <w:lang w:val="en-US"/>
        </w:rPr>
        <w:t>San Francisco</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reaching</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1000</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mm</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year</w:t>
      </w:r>
      <w:r w:rsidRPr="00FD56FA">
        <w:rPr>
          <w:rFonts w:ascii="Times New Roman" w:hAnsi="Times New Roman"/>
          <w:sz w:val="24"/>
          <w:szCs w:val="24"/>
          <w:vertAlign w:val="superscript"/>
          <w:lang w:val="en-US"/>
        </w:rPr>
        <w:t>-1</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is</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required</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for</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full irrigation</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farming</w:t>
      </w:r>
      <w:r w:rsidRPr="00FD56FA">
        <w:rPr>
          <w:rFonts w:ascii="Times New Roman" w:hAnsi="Times New Roman"/>
          <w:sz w:val="24"/>
          <w:szCs w:val="24"/>
          <w:lang w:val="en-US"/>
        </w:rPr>
        <w:t>.</w:t>
      </w:r>
    </w:p>
    <w:p w:rsidR="006D0856" w:rsidRDefault="006D0856" w:rsidP="00753FA3">
      <w:pPr>
        <w:spacing w:line="480" w:lineRule="auto"/>
        <w:jc w:val="both"/>
        <w:rPr>
          <w:rFonts w:ascii="Times New Roman" w:hAnsi="Times New Roman"/>
          <w:sz w:val="24"/>
          <w:szCs w:val="24"/>
          <w:lang w:val="en-US"/>
        </w:rPr>
      </w:pPr>
      <w:r w:rsidRPr="00FD56FA">
        <w:rPr>
          <w:rStyle w:val="hps"/>
          <w:rFonts w:ascii="Times New Roman" w:hAnsi="Times New Roman"/>
          <w:b/>
          <w:sz w:val="24"/>
          <w:szCs w:val="24"/>
          <w:lang w:val="en-US"/>
        </w:rPr>
        <w:t>Keyword</w:t>
      </w:r>
      <w:r w:rsidRPr="00FD56FA">
        <w:rPr>
          <w:rFonts w:ascii="Times New Roman" w:hAnsi="Times New Roman"/>
          <w:b/>
          <w:sz w:val="24"/>
          <w:szCs w:val="24"/>
          <w:lang w:val="en-US"/>
        </w:rPr>
        <w:t xml:space="preserve">: </w:t>
      </w:r>
      <w:r w:rsidRPr="00FD56FA">
        <w:rPr>
          <w:rStyle w:val="hps"/>
          <w:rFonts w:ascii="Times New Roman" w:hAnsi="Times New Roman"/>
          <w:sz w:val="24"/>
          <w:szCs w:val="24"/>
          <w:lang w:val="en-US"/>
        </w:rPr>
        <w:t>Deficit</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water</w:t>
      </w:r>
      <w:r w:rsidRPr="00FD56FA">
        <w:rPr>
          <w:rFonts w:ascii="Times New Roman" w:hAnsi="Times New Roman"/>
          <w:sz w:val="24"/>
          <w:szCs w:val="24"/>
          <w:lang w:val="en-US"/>
        </w:rPr>
        <w:t xml:space="preserve">, </w:t>
      </w:r>
      <w:r w:rsidRPr="00FD56FA">
        <w:rPr>
          <w:rStyle w:val="hps"/>
          <w:rFonts w:ascii="Times New Roman" w:hAnsi="Times New Roman"/>
          <w:sz w:val="24"/>
          <w:szCs w:val="24"/>
          <w:lang w:val="en-US"/>
        </w:rPr>
        <w:t>evapotranspiration</w:t>
      </w:r>
      <w:r w:rsidRPr="00FD56FA">
        <w:rPr>
          <w:rFonts w:ascii="Times New Roman" w:hAnsi="Times New Roman"/>
          <w:sz w:val="24"/>
          <w:szCs w:val="24"/>
          <w:lang w:val="en-US"/>
        </w:rPr>
        <w:t>, irrigation.</w:t>
      </w:r>
    </w:p>
    <w:p w:rsidR="006D0856" w:rsidRPr="00FD56FA" w:rsidRDefault="006D0856" w:rsidP="00753FA3">
      <w:pPr>
        <w:spacing w:line="480" w:lineRule="auto"/>
        <w:jc w:val="both"/>
        <w:rPr>
          <w:rFonts w:ascii="Times New Roman" w:eastAsia="Times New Roman" w:hAnsi="Times New Roman"/>
          <w:sz w:val="24"/>
          <w:szCs w:val="24"/>
          <w:lang w:val="en-US" w:eastAsia="pt-BR"/>
        </w:rPr>
      </w:pPr>
    </w:p>
    <w:p w:rsidR="006D0856" w:rsidRPr="00526AA2" w:rsidRDefault="006D0856" w:rsidP="003017D0">
      <w:pPr>
        <w:spacing w:line="480" w:lineRule="auto"/>
        <w:ind w:right="-852"/>
        <w:jc w:val="both"/>
        <w:rPr>
          <w:rFonts w:ascii="Times New Roman" w:hAnsi="Times New Roman"/>
          <w:b/>
          <w:noProof/>
          <w:sz w:val="24"/>
          <w:szCs w:val="24"/>
          <w:lang w:eastAsia="pt-BR"/>
        </w:rPr>
      </w:pPr>
      <w:r w:rsidRPr="00526AA2">
        <w:rPr>
          <w:rFonts w:ascii="Times New Roman" w:hAnsi="Times New Roman"/>
          <w:b/>
          <w:noProof/>
          <w:sz w:val="24"/>
          <w:szCs w:val="24"/>
          <w:lang w:eastAsia="pt-BR"/>
        </w:rPr>
        <w:t>I</w:t>
      </w:r>
      <w:r w:rsidR="003017D0" w:rsidRPr="00526AA2">
        <w:rPr>
          <w:rFonts w:ascii="Times New Roman" w:hAnsi="Times New Roman"/>
          <w:b/>
          <w:noProof/>
          <w:sz w:val="24"/>
          <w:szCs w:val="24"/>
          <w:lang w:eastAsia="pt-BR"/>
        </w:rPr>
        <w:t>ntrodução</w:t>
      </w:r>
    </w:p>
    <w:p w:rsidR="006D0856" w:rsidRPr="00526AA2" w:rsidRDefault="006D0856" w:rsidP="00753FA3">
      <w:pPr>
        <w:spacing w:after="0" w:line="480" w:lineRule="auto"/>
        <w:ind w:right="-1"/>
        <w:jc w:val="both"/>
        <w:rPr>
          <w:rFonts w:ascii="Times New Roman" w:hAnsi="Times New Roman"/>
          <w:noProof/>
          <w:sz w:val="24"/>
          <w:szCs w:val="24"/>
          <w:lang w:eastAsia="pt-BR"/>
        </w:rPr>
      </w:pPr>
      <w:r w:rsidRPr="00526AA2">
        <w:rPr>
          <w:rFonts w:ascii="Times New Roman" w:hAnsi="Times New Roman"/>
          <w:noProof/>
          <w:sz w:val="24"/>
          <w:szCs w:val="24"/>
          <w:lang w:eastAsia="pt-BR"/>
        </w:rPr>
        <w:tab/>
        <w:t>As informações agrometeorol</w:t>
      </w:r>
      <w:r>
        <w:rPr>
          <w:rFonts w:ascii="Times New Roman" w:hAnsi="Times New Roman"/>
          <w:noProof/>
          <w:sz w:val="24"/>
          <w:szCs w:val="24"/>
          <w:lang w:eastAsia="pt-BR"/>
        </w:rPr>
        <w:t>ó</w:t>
      </w:r>
      <w:r w:rsidRPr="00526AA2">
        <w:rPr>
          <w:rFonts w:ascii="Times New Roman" w:hAnsi="Times New Roman"/>
          <w:noProof/>
          <w:sz w:val="24"/>
          <w:szCs w:val="24"/>
          <w:lang w:eastAsia="pt-BR"/>
        </w:rPr>
        <w:t>gicas assumem papel importante no planejamento da agricultura irrigada, sendo o balanço hídrico climatológico a principal informação a ser considerada (P</w:t>
      </w:r>
      <w:r w:rsidR="003017D0" w:rsidRPr="00526AA2">
        <w:rPr>
          <w:rFonts w:ascii="Times New Roman" w:hAnsi="Times New Roman"/>
          <w:noProof/>
          <w:sz w:val="24"/>
          <w:szCs w:val="24"/>
          <w:lang w:eastAsia="pt-BR"/>
        </w:rPr>
        <w:t>EREIRA</w:t>
      </w:r>
      <w:r w:rsidRPr="00526AA2">
        <w:rPr>
          <w:rFonts w:ascii="Times New Roman" w:hAnsi="Times New Roman"/>
          <w:noProof/>
          <w:sz w:val="24"/>
          <w:szCs w:val="24"/>
          <w:lang w:eastAsia="pt-BR"/>
        </w:rPr>
        <w:t xml:space="preserve"> et al., 2002). Neste contexto</w:t>
      </w:r>
      <w:r>
        <w:rPr>
          <w:rFonts w:ascii="Times New Roman" w:hAnsi="Times New Roman"/>
          <w:noProof/>
          <w:sz w:val="24"/>
          <w:szCs w:val="24"/>
          <w:lang w:eastAsia="pt-BR"/>
        </w:rPr>
        <w:t>,</w:t>
      </w:r>
      <w:r w:rsidRPr="00526AA2">
        <w:rPr>
          <w:rFonts w:ascii="Times New Roman" w:hAnsi="Times New Roman"/>
          <w:noProof/>
          <w:sz w:val="24"/>
          <w:szCs w:val="24"/>
          <w:lang w:eastAsia="pt-BR"/>
        </w:rPr>
        <w:t xml:space="preserve"> </w:t>
      </w:r>
      <w:r>
        <w:rPr>
          <w:rFonts w:ascii="Times New Roman" w:hAnsi="Times New Roman"/>
          <w:noProof/>
          <w:sz w:val="24"/>
          <w:szCs w:val="24"/>
          <w:lang w:eastAsia="pt-BR"/>
        </w:rPr>
        <w:t>o connhecimento</w:t>
      </w:r>
      <w:r w:rsidRPr="00526AA2">
        <w:rPr>
          <w:rFonts w:ascii="Times New Roman" w:hAnsi="Times New Roman"/>
          <w:noProof/>
          <w:sz w:val="24"/>
          <w:szCs w:val="24"/>
          <w:lang w:eastAsia="pt-BR"/>
        </w:rPr>
        <w:t xml:space="preserve"> </w:t>
      </w:r>
      <w:r>
        <w:rPr>
          <w:rFonts w:ascii="Times New Roman" w:hAnsi="Times New Roman"/>
          <w:noProof/>
          <w:sz w:val="24"/>
          <w:szCs w:val="24"/>
          <w:lang w:eastAsia="pt-BR"/>
        </w:rPr>
        <w:t>d</w:t>
      </w:r>
      <w:r w:rsidRPr="00526AA2">
        <w:rPr>
          <w:rFonts w:ascii="Times New Roman" w:hAnsi="Times New Roman"/>
          <w:noProof/>
          <w:sz w:val="24"/>
          <w:szCs w:val="24"/>
          <w:lang w:eastAsia="pt-BR"/>
        </w:rPr>
        <w:t>as condições climáticas anuais e a previsão pluviométrica para o ano é de grande valor para um planejamento agr</w:t>
      </w:r>
      <w:r>
        <w:rPr>
          <w:rFonts w:ascii="Times New Roman" w:hAnsi="Times New Roman"/>
          <w:noProof/>
          <w:sz w:val="24"/>
          <w:szCs w:val="24"/>
          <w:lang w:eastAsia="pt-BR"/>
        </w:rPr>
        <w:t>í</w:t>
      </w:r>
      <w:r w:rsidRPr="00526AA2">
        <w:rPr>
          <w:rFonts w:ascii="Times New Roman" w:hAnsi="Times New Roman"/>
          <w:noProof/>
          <w:sz w:val="24"/>
          <w:szCs w:val="24"/>
          <w:lang w:eastAsia="pt-BR"/>
        </w:rPr>
        <w:t>cola adequado. Levando-se em consideração os riscos clim</w:t>
      </w:r>
      <w:r>
        <w:rPr>
          <w:rFonts w:ascii="Times New Roman" w:hAnsi="Times New Roman"/>
          <w:noProof/>
          <w:sz w:val="24"/>
          <w:szCs w:val="24"/>
          <w:lang w:eastAsia="pt-BR"/>
        </w:rPr>
        <w:t>á</w:t>
      </w:r>
      <w:r w:rsidRPr="00526AA2">
        <w:rPr>
          <w:rFonts w:ascii="Times New Roman" w:hAnsi="Times New Roman"/>
          <w:noProof/>
          <w:sz w:val="24"/>
          <w:szCs w:val="24"/>
          <w:lang w:eastAsia="pt-BR"/>
        </w:rPr>
        <w:t>ticos anuais, a falta de dados meteorol</w:t>
      </w:r>
      <w:r>
        <w:rPr>
          <w:rFonts w:ascii="Times New Roman" w:hAnsi="Times New Roman"/>
          <w:noProof/>
          <w:sz w:val="24"/>
          <w:szCs w:val="24"/>
          <w:lang w:eastAsia="pt-BR"/>
        </w:rPr>
        <w:t>ó</w:t>
      </w:r>
      <w:r w:rsidRPr="00526AA2">
        <w:rPr>
          <w:rFonts w:ascii="Times New Roman" w:hAnsi="Times New Roman"/>
          <w:noProof/>
          <w:sz w:val="24"/>
          <w:szCs w:val="24"/>
          <w:lang w:eastAsia="pt-BR"/>
        </w:rPr>
        <w:t>gicos em determinadas regiões fazem com que o produtor agrícola demande uma quantidade de água maior para a cultura do que o necessário</w:t>
      </w:r>
      <w:r>
        <w:rPr>
          <w:rFonts w:ascii="Times New Roman" w:hAnsi="Times New Roman"/>
          <w:noProof/>
          <w:sz w:val="24"/>
          <w:szCs w:val="24"/>
          <w:lang w:eastAsia="pt-BR"/>
        </w:rPr>
        <w:t>,</w:t>
      </w:r>
      <w:r w:rsidRPr="00526AA2">
        <w:rPr>
          <w:rFonts w:ascii="Times New Roman" w:hAnsi="Times New Roman"/>
          <w:noProof/>
          <w:sz w:val="24"/>
          <w:szCs w:val="24"/>
          <w:lang w:eastAsia="pt-BR"/>
        </w:rPr>
        <w:t xml:space="preserve"> levando a gastos extras onerando ainda mais a produção</w:t>
      </w:r>
      <w:r>
        <w:rPr>
          <w:rFonts w:ascii="Times New Roman" w:hAnsi="Times New Roman"/>
          <w:noProof/>
          <w:sz w:val="24"/>
          <w:szCs w:val="24"/>
          <w:lang w:eastAsia="pt-BR"/>
        </w:rPr>
        <w:t xml:space="preserve"> e </w:t>
      </w:r>
      <w:r w:rsidRPr="00526AA2">
        <w:rPr>
          <w:rFonts w:ascii="Times New Roman" w:hAnsi="Times New Roman"/>
          <w:noProof/>
          <w:sz w:val="24"/>
          <w:szCs w:val="24"/>
          <w:lang w:eastAsia="pt-BR"/>
        </w:rPr>
        <w:t xml:space="preserve">colocando em risco todo o potencial produtivo da cultura devido a interferência do clima em seu ciclo fisiológico. Assim, identificando-se os períodos com excedente e deficiência hídrica e suas respectivas intensidades, define-se o tipo de sistema de cultivo a ser empregado, </w:t>
      </w:r>
      <w:r w:rsidRPr="00526AA2">
        <w:rPr>
          <w:rFonts w:ascii="Times New Roman" w:hAnsi="Times New Roman"/>
          <w:noProof/>
          <w:sz w:val="24"/>
          <w:szCs w:val="24"/>
          <w:lang w:eastAsia="pt-BR"/>
        </w:rPr>
        <w:lastRenderedPageBreak/>
        <w:t>sequeiro ou irrigado, e o período em que cada um deles deve ser conduzido (M</w:t>
      </w:r>
      <w:r w:rsidR="003017D0" w:rsidRPr="00526AA2">
        <w:rPr>
          <w:rFonts w:ascii="Times New Roman" w:hAnsi="Times New Roman"/>
          <w:noProof/>
          <w:sz w:val="24"/>
          <w:szCs w:val="24"/>
          <w:lang w:eastAsia="pt-BR"/>
        </w:rPr>
        <w:t>ONTEIRO</w:t>
      </w:r>
      <w:r w:rsidRPr="00526AA2">
        <w:rPr>
          <w:rFonts w:ascii="Times New Roman" w:hAnsi="Times New Roman"/>
          <w:noProof/>
          <w:sz w:val="24"/>
          <w:szCs w:val="24"/>
          <w:lang w:eastAsia="pt-BR"/>
        </w:rPr>
        <w:t xml:space="preserve">, 2009). </w:t>
      </w:r>
    </w:p>
    <w:p w:rsidR="006D0856" w:rsidRPr="00526AA2" w:rsidRDefault="006D0856" w:rsidP="00753FA3">
      <w:pPr>
        <w:spacing w:after="0" w:line="480" w:lineRule="auto"/>
        <w:ind w:right="-1"/>
        <w:jc w:val="both"/>
        <w:rPr>
          <w:rFonts w:ascii="Times New Roman" w:hAnsi="Times New Roman"/>
          <w:noProof/>
          <w:sz w:val="24"/>
          <w:szCs w:val="24"/>
          <w:lang w:eastAsia="pt-BR"/>
        </w:rPr>
      </w:pPr>
      <w:r w:rsidRPr="00526AA2">
        <w:rPr>
          <w:rFonts w:ascii="Times New Roman" w:hAnsi="Times New Roman"/>
          <w:noProof/>
          <w:sz w:val="24"/>
          <w:szCs w:val="24"/>
          <w:lang w:eastAsia="pt-BR"/>
        </w:rPr>
        <w:tab/>
        <w:t>Devido a isto o conhecimento da variabilidade espacial dos elementos climatológicos como deficiência hídrica do solo, excedente hídrico, evapotranspiração potencial (ETP), evapotranspiração real (ETR) e disponibilidade hídrica (ETR/ETP) se tornam indispensável no planejamento e implantação de uma atividade agrícola (P</w:t>
      </w:r>
      <w:r w:rsidR="003017D0" w:rsidRPr="00526AA2">
        <w:rPr>
          <w:rFonts w:ascii="Times New Roman" w:hAnsi="Times New Roman"/>
          <w:noProof/>
          <w:sz w:val="24"/>
          <w:szCs w:val="24"/>
          <w:lang w:eastAsia="pt-BR"/>
        </w:rPr>
        <w:t>EREIRA</w:t>
      </w:r>
      <w:r w:rsidRPr="00526AA2">
        <w:rPr>
          <w:rFonts w:ascii="Times New Roman" w:hAnsi="Times New Roman"/>
          <w:noProof/>
          <w:sz w:val="24"/>
          <w:szCs w:val="24"/>
          <w:lang w:eastAsia="pt-BR"/>
        </w:rPr>
        <w:t xml:space="preserve"> et al., 2002; S</w:t>
      </w:r>
      <w:r w:rsidR="003017D0" w:rsidRPr="00526AA2">
        <w:rPr>
          <w:rFonts w:ascii="Times New Roman" w:hAnsi="Times New Roman"/>
          <w:noProof/>
          <w:sz w:val="24"/>
          <w:szCs w:val="24"/>
          <w:lang w:eastAsia="pt-BR"/>
        </w:rPr>
        <w:t>ENTELHAS</w:t>
      </w:r>
      <w:r w:rsidRPr="00526AA2">
        <w:rPr>
          <w:rFonts w:ascii="Times New Roman" w:hAnsi="Times New Roman"/>
          <w:noProof/>
          <w:sz w:val="24"/>
          <w:szCs w:val="24"/>
          <w:lang w:eastAsia="pt-BR"/>
        </w:rPr>
        <w:t xml:space="preserve"> et al., 2008; C</w:t>
      </w:r>
      <w:r w:rsidR="003017D0" w:rsidRPr="00526AA2">
        <w:rPr>
          <w:rFonts w:ascii="Times New Roman" w:hAnsi="Times New Roman"/>
          <w:noProof/>
          <w:sz w:val="24"/>
          <w:szCs w:val="24"/>
          <w:lang w:eastAsia="pt-BR"/>
        </w:rPr>
        <w:t>ASTRO</w:t>
      </w:r>
      <w:r w:rsidRPr="00526AA2">
        <w:rPr>
          <w:rFonts w:ascii="Times New Roman" w:hAnsi="Times New Roman"/>
          <w:noProof/>
          <w:sz w:val="24"/>
          <w:szCs w:val="24"/>
          <w:lang w:eastAsia="pt-BR"/>
        </w:rPr>
        <w:t xml:space="preserve"> et al., 2010), podendo assim beneficiar produtores em regiões que não possuem postos de observações climáticas para o manejo da irrigação em suas áreas. Existem diversos trabalhos sobre métodos de interpolação espacial de dados climáticos porém os mesmo não consideram em seus trabalhos os diferentes regimes pluviais que acontecem em uma série de anos, tendo apenas uma representatividade média da precipitação sem considerar os fenômenos climáticos que alteram os regimes de chuva e temperatura das regiões a exemplo do el niño que interfere significativamente nos regimes pluviométrico do Nordeste brasi</w:t>
      </w:r>
      <w:r>
        <w:rPr>
          <w:rFonts w:ascii="Times New Roman" w:hAnsi="Times New Roman"/>
          <w:noProof/>
          <w:sz w:val="24"/>
          <w:szCs w:val="24"/>
          <w:lang w:eastAsia="pt-BR"/>
        </w:rPr>
        <w:t>leiro como afirma  M</w:t>
      </w:r>
      <w:r w:rsidR="003017D0">
        <w:rPr>
          <w:rFonts w:ascii="Times New Roman" w:hAnsi="Times New Roman"/>
          <w:noProof/>
          <w:sz w:val="24"/>
          <w:szCs w:val="24"/>
          <w:lang w:eastAsia="pt-BR"/>
        </w:rPr>
        <w:t>OURA</w:t>
      </w:r>
      <w:r>
        <w:rPr>
          <w:rFonts w:ascii="Times New Roman" w:hAnsi="Times New Roman"/>
          <w:noProof/>
          <w:sz w:val="24"/>
          <w:szCs w:val="24"/>
          <w:lang w:eastAsia="pt-BR"/>
        </w:rPr>
        <w:t xml:space="preserve"> et al.</w:t>
      </w:r>
      <w:r w:rsidRPr="00526AA2">
        <w:rPr>
          <w:rFonts w:ascii="Times New Roman" w:hAnsi="Times New Roman"/>
          <w:noProof/>
          <w:sz w:val="24"/>
          <w:szCs w:val="24"/>
          <w:lang w:eastAsia="pt-BR"/>
        </w:rPr>
        <w:t xml:space="preserve">(2009). </w:t>
      </w:r>
    </w:p>
    <w:p w:rsidR="006D0856" w:rsidRPr="00526AA2" w:rsidRDefault="006D0856" w:rsidP="00753FA3">
      <w:pPr>
        <w:spacing w:after="0" w:line="480" w:lineRule="auto"/>
        <w:ind w:right="-1"/>
        <w:jc w:val="both"/>
        <w:rPr>
          <w:rFonts w:ascii="Times New Roman" w:hAnsi="Times New Roman"/>
          <w:noProof/>
          <w:sz w:val="24"/>
          <w:szCs w:val="24"/>
          <w:lang w:eastAsia="pt-BR"/>
        </w:rPr>
      </w:pPr>
      <w:r w:rsidRPr="00526AA2">
        <w:rPr>
          <w:rFonts w:ascii="Times New Roman" w:hAnsi="Times New Roman"/>
          <w:noProof/>
          <w:sz w:val="24"/>
          <w:szCs w:val="24"/>
          <w:lang w:eastAsia="pt-BR"/>
        </w:rPr>
        <w:tab/>
        <w:t>O balanço hídrico é um sistema contabil de monitoramento da água do solo e resulta da aplicação do princípio de conservação de massa para a água, num volume de solo vegetado, podendo ser uma excelente ferramenta para se estudar também a viabilidade da implantação e monitoramento de sistemas de irrigação ou drenagem em uma região (P</w:t>
      </w:r>
      <w:r w:rsidR="003017D0" w:rsidRPr="00526AA2">
        <w:rPr>
          <w:rFonts w:ascii="Times New Roman" w:hAnsi="Times New Roman"/>
          <w:noProof/>
          <w:sz w:val="24"/>
          <w:szCs w:val="24"/>
          <w:lang w:eastAsia="pt-BR"/>
        </w:rPr>
        <w:t>EREIRA</w:t>
      </w:r>
      <w:r w:rsidRPr="00526AA2">
        <w:rPr>
          <w:rFonts w:ascii="Times New Roman" w:hAnsi="Times New Roman"/>
          <w:noProof/>
          <w:sz w:val="24"/>
          <w:szCs w:val="24"/>
          <w:lang w:eastAsia="pt-BR"/>
        </w:rPr>
        <w:t xml:space="preserve"> et al., 1997).  Devido a variabilidade das chuvas nas regiões a capacidade de armazenamento do solo pode diferir significamente de um ano a outro fazendo com que o manejo das áreas irrigadas se adeque a mudança para uma maior eficiência do uso da água principalmente para regi</w:t>
      </w:r>
      <w:r>
        <w:rPr>
          <w:rFonts w:ascii="Times New Roman" w:hAnsi="Times New Roman"/>
          <w:noProof/>
          <w:sz w:val="24"/>
          <w:szCs w:val="24"/>
          <w:lang w:eastAsia="pt-BR"/>
        </w:rPr>
        <w:t>õ</w:t>
      </w:r>
      <w:r w:rsidRPr="00526AA2">
        <w:rPr>
          <w:rFonts w:ascii="Times New Roman" w:hAnsi="Times New Roman"/>
          <w:noProof/>
          <w:sz w:val="24"/>
          <w:szCs w:val="24"/>
          <w:lang w:eastAsia="pt-BR"/>
        </w:rPr>
        <w:t>es semi</w:t>
      </w:r>
      <w:r>
        <w:rPr>
          <w:rFonts w:ascii="Times New Roman" w:hAnsi="Times New Roman"/>
          <w:noProof/>
          <w:sz w:val="24"/>
          <w:szCs w:val="24"/>
          <w:lang w:eastAsia="pt-BR"/>
        </w:rPr>
        <w:t>á</w:t>
      </w:r>
      <w:r w:rsidRPr="00526AA2">
        <w:rPr>
          <w:rFonts w:ascii="Times New Roman" w:hAnsi="Times New Roman"/>
          <w:noProof/>
          <w:sz w:val="24"/>
          <w:szCs w:val="24"/>
          <w:lang w:eastAsia="pt-BR"/>
        </w:rPr>
        <w:t xml:space="preserve">ridas como é o caso da  região oeste do Estado de Pernambuco em que a variabilidade das chuvas é elevada.  </w:t>
      </w:r>
    </w:p>
    <w:p w:rsidR="006D0856" w:rsidRDefault="006D0856" w:rsidP="00753FA3">
      <w:pPr>
        <w:spacing w:line="480" w:lineRule="auto"/>
        <w:ind w:right="-1"/>
        <w:jc w:val="both"/>
        <w:rPr>
          <w:rFonts w:ascii="Times New Roman" w:hAnsi="Times New Roman"/>
          <w:noProof/>
          <w:sz w:val="24"/>
          <w:szCs w:val="24"/>
          <w:lang w:eastAsia="pt-BR"/>
        </w:rPr>
      </w:pPr>
      <w:r w:rsidRPr="00526AA2">
        <w:rPr>
          <w:rFonts w:ascii="Times New Roman" w:hAnsi="Times New Roman"/>
          <w:noProof/>
          <w:sz w:val="24"/>
          <w:szCs w:val="24"/>
          <w:lang w:eastAsia="pt-BR"/>
        </w:rPr>
        <w:lastRenderedPageBreak/>
        <w:tab/>
        <w:t>O objetivo do trabalho  é avaliar o balanço hídrico climatológico em diferentes regimes pluviais e a espacialização do mesmo para o Estado de Pernambuco para o manejo adequado da irrigação.</w:t>
      </w:r>
    </w:p>
    <w:p w:rsidR="006D0856" w:rsidRDefault="006D0856" w:rsidP="00753FA3">
      <w:pPr>
        <w:spacing w:line="480" w:lineRule="auto"/>
        <w:ind w:right="-1"/>
        <w:jc w:val="both"/>
        <w:rPr>
          <w:rFonts w:ascii="Times New Roman" w:hAnsi="Times New Roman"/>
          <w:noProof/>
          <w:sz w:val="24"/>
          <w:szCs w:val="24"/>
          <w:lang w:eastAsia="pt-BR"/>
        </w:rPr>
      </w:pPr>
    </w:p>
    <w:p w:rsidR="006D0856" w:rsidRPr="00526AA2" w:rsidRDefault="006D0856" w:rsidP="003375BD">
      <w:pPr>
        <w:spacing w:line="480" w:lineRule="auto"/>
        <w:ind w:right="-852"/>
        <w:jc w:val="both"/>
        <w:rPr>
          <w:rFonts w:ascii="Times New Roman" w:hAnsi="Times New Roman"/>
          <w:b/>
          <w:noProof/>
          <w:sz w:val="24"/>
          <w:szCs w:val="24"/>
          <w:lang w:eastAsia="pt-BR"/>
        </w:rPr>
      </w:pPr>
      <w:r>
        <w:rPr>
          <w:rFonts w:ascii="Times New Roman" w:hAnsi="Times New Roman"/>
          <w:b/>
          <w:noProof/>
          <w:sz w:val="24"/>
          <w:szCs w:val="24"/>
          <w:lang w:eastAsia="pt-BR"/>
        </w:rPr>
        <w:t>M</w:t>
      </w:r>
      <w:r w:rsidR="003375BD">
        <w:rPr>
          <w:rFonts w:ascii="Times New Roman" w:hAnsi="Times New Roman"/>
          <w:b/>
          <w:noProof/>
          <w:sz w:val="24"/>
          <w:szCs w:val="24"/>
          <w:lang w:eastAsia="pt-BR"/>
        </w:rPr>
        <w:t>ateriais e metó</w:t>
      </w:r>
      <w:r w:rsidR="003375BD" w:rsidRPr="00526AA2">
        <w:rPr>
          <w:rFonts w:ascii="Times New Roman" w:hAnsi="Times New Roman"/>
          <w:b/>
          <w:noProof/>
          <w:sz w:val="24"/>
          <w:szCs w:val="24"/>
          <w:lang w:eastAsia="pt-BR"/>
        </w:rPr>
        <w:t>dos</w:t>
      </w:r>
    </w:p>
    <w:p w:rsidR="006D0856" w:rsidRPr="00526AA2" w:rsidRDefault="006D0856" w:rsidP="00753FA3">
      <w:pPr>
        <w:spacing w:line="480" w:lineRule="auto"/>
        <w:ind w:right="-1"/>
        <w:jc w:val="both"/>
        <w:rPr>
          <w:rFonts w:ascii="Times New Roman" w:hAnsi="Times New Roman"/>
          <w:noProof/>
          <w:sz w:val="24"/>
          <w:szCs w:val="24"/>
          <w:lang w:eastAsia="pt-BR"/>
        </w:rPr>
      </w:pPr>
      <w:r w:rsidRPr="00526AA2">
        <w:rPr>
          <w:rFonts w:ascii="Times New Roman" w:hAnsi="Times New Roman"/>
        </w:rPr>
        <w:tab/>
      </w:r>
      <w:proofErr w:type="gramStart"/>
      <w:r w:rsidRPr="00526AA2">
        <w:rPr>
          <w:rFonts w:ascii="Times New Roman" w:hAnsi="Times New Roman"/>
          <w:sz w:val="24"/>
          <w:szCs w:val="24"/>
        </w:rPr>
        <w:t xml:space="preserve">O estudo foi realizado no </w:t>
      </w:r>
      <w:r>
        <w:rPr>
          <w:rFonts w:ascii="Times New Roman" w:hAnsi="Times New Roman"/>
          <w:sz w:val="24"/>
          <w:szCs w:val="24"/>
        </w:rPr>
        <w:t>E</w:t>
      </w:r>
      <w:r w:rsidRPr="00526AA2">
        <w:rPr>
          <w:rFonts w:ascii="Times New Roman" w:hAnsi="Times New Roman"/>
          <w:sz w:val="24"/>
          <w:szCs w:val="24"/>
        </w:rPr>
        <w:t>stado de Pernambuco, situado entre os paralelos 7º18’17”</w:t>
      </w:r>
      <w:proofErr w:type="gramEnd"/>
      <w:r w:rsidRPr="00526AA2">
        <w:rPr>
          <w:rFonts w:ascii="Times New Roman" w:hAnsi="Times New Roman"/>
          <w:sz w:val="24"/>
          <w:szCs w:val="24"/>
        </w:rPr>
        <w:t xml:space="preserve"> e 9º28'43" de latitude sul e os meridianos de 34º48'15" e 41º21'22" de longitude a oeste, no Nordeste brasileiro.</w:t>
      </w:r>
      <w:r w:rsidRPr="00526AA2">
        <w:rPr>
          <w:rFonts w:ascii="Times New Roman" w:hAnsi="Times New Roman"/>
          <w:color w:val="FF0000"/>
          <w:sz w:val="24"/>
          <w:szCs w:val="24"/>
        </w:rPr>
        <w:t xml:space="preserve"> </w:t>
      </w:r>
      <w:r w:rsidRPr="00526AA2">
        <w:rPr>
          <w:rFonts w:ascii="Times New Roman" w:hAnsi="Times New Roman"/>
          <w:sz w:val="24"/>
          <w:szCs w:val="24"/>
        </w:rPr>
        <w:t>Pernambuco é subdividido em cinco mesorregiões: Sertão do São Francisco, Sertão, Agreste, Zona da Mata e Metropolitana do Recife como mostra a Figura 1A.</w:t>
      </w:r>
      <w:r w:rsidRPr="00526AA2">
        <w:rPr>
          <w:rFonts w:ascii="Times New Roman" w:hAnsi="Times New Roman"/>
          <w:b/>
          <w:bCs/>
          <w:sz w:val="24"/>
          <w:szCs w:val="24"/>
        </w:rPr>
        <w:t xml:space="preserve"> </w:t>
      </w:r>
      <w:r w:rsidRPr="00E447A2">
        <w:rPr>
          <w:rStyle w:val="Forte"/>
          <w:rFonts w:ascii="Times New Roman" w:hAnsi="Times New Roman"/>
          <w:b w:val="0"/>
          <w:sz w:val="24"/>
          <w:szCs w:val="24"/>
        </w:rPr>
        <w:t xml:space="preserve">Dois tipos climáticos segundo Köppen caracterizam o Estado, os climas As' e </w:t>
      </w:r>
      <w:proofErr w:type="spellStart"/>
      <w:proofErr w:type="gramStart"/>
      <w:r w:rsidRPr="00E447A2">
        <w:rPr>
          <w:rStyle w:val="Forte"/>
          <w:rFonts w:ascii="Times New Roman" w:hAnsi="Times New Roman"/>
          <w:b w:val="0"/>
          <w:sz w:val="24"/>
          <w:szCs w:val="24"/>
        </w:rPr>
        <w:t>BSh</w:t>
      </w:r>
      <w:proofErr w:type="spellEnd"/>
      <w:proofErr w:type="gramEnd"/>
      <w:r w:rsidRPr="00E447A2">
        <w:rPr>
          <w:rStyle w:val="Forte"/>
          <w:rFonts w:ascii="Times New Roman" w:hAnsi="Times New Roman"/>
          <w:b w:val="0"/>
          <w:sz w:val="24"/>
          <w:szCs w:val="24"/>
        </w:rPr>
        <w:t>, ou seja</w:t>
      </w:r>
      <w:r w:rsidRPr="00FF03E3">
        <w:rPr>
          <w:rStyle w:val="Forte"/>
          <w:rFonts w:ascii="Times New Roman" w:hAnsi="Times New Roman"/>
          <w:sz w:val="24"/>
          <w:szCs w:val="24"/>
        </w:rPr>
        <w:t>,</w:t>
      </w:r>
      <w:r w:rsidRPr="00526AA2">
        <w:rPr>
          <w:rStyle w:val="Forte"/>
          <w:rFonts w:ascii="Times New Roman" w:hAnsi="Times New Roman"/>
          <w:sz w:val="24"/>
          <w:szCs w:val="24"/>
        </w:rPr>
        <w:t xml:space="preserve"> </w:t>
      </w:r>
      <w:r w:rsidRPr="00526AA2">
        <w:rPr>
          <w:rFonts w:ascii="Times New Roman" w:hAnsi="Times New Roman"/>
          <w:sz w:val="24"/>
          <w:szCs w:val="24"/>
        </w:rPr>
        <w:t>precipitações no outono e inverno em parte do litoral do Estado e semiárido quente no sertão (Temperatura média anual &gt; 18 ºC), respectivamente. O banco de dados utilizado no estudo originou-se de registros de estações climatológicas (SUDENE, 1990). As estações selecionadas para o estudo foram aquelas que apresentaram séries históricas de no mínimo 20 anos de observações, sendo utilizadas no trabalho 45 estações climatológicas (Figura 1B).</w:t>
      </w:r>
    </w:p>
    <w:p w:rsidR="006D0856" w:rsidRPr="00526AA2" w:rsidRDefault="00026642" w:rsidP="00753FA3">
      <w:pPr>
        <w:spacing w:line="480" w:lineRule="auto"/>
        <w:ind w:right="-1"/>
        <w:rPr>
          <w:rFonts w:ascii="Times New Roman" w:hAnsi="Times New Roman"/>
          <w:noProof/>
          <w:sz w:val="24"/>
          <w:szCs w:val="24"/>
          <w:lang w:eastAsia="pt-BR"/>
        </w:rPr>
      </w:pPr>
      <w:r>
        <w:rPr>
          <w:rFonts w:ascii="Times New Roman" w:hAnsi="Times New Roman"/>
          <w:noProof/>
          <w:sz w:val="24"/>
          <w:szCs w:val="24"/>
        </w:rPr>
        <w:pict>
          <v:shapetype id="_x0000_t202" coordsize="21600,21600" o:spt="202" path="m,l,21600r21600,l21600,xe">
            <v:stroke joinstyle="miter"/>
            <v:path gradientshapeok="t" o:connecttype="rect"/>
          </v:shapetype>
          <v:shape id="_x0000_s1026" type="#_x0000_t202" style="position:absolute;margin-left:-2.6pt;margin-top:1.7pt;width:29.35pt;height:22.85pt;z-index:251660288;mso-width-relative:margin;mso-height-relative:margin" stroked="f" strokecolor="white">
            <v:fill opacity="0"/>
            <v:textbox style="mso-next-textbox:#_x0000_s1026">
              <w:txbxContent>
                <w:p w:rsidR="006D0856" w:rsidRPr="00B64FBC" w:rsidRDefault="006D0856" w:rsidP="006D0856">
                  <w:pPr>
                    <w:rPr>
                      <w:rFonts w:ascii="Times New Roman" w:hAnsi="Times New Roman"/>
                      <w:sz w:val="24"/>
                      <w:szCs w:val="24"/>
                    </w:rPr>
                  </w:pPr>
                  <w:r w:rsidRPr="00B64FBC">
                    <w:rPr>
                      <w:rFonts w:ascii="Times New Roman" w:hAnsi="Times New Roman"/>
                      <w:sz w:val="24"/>
                      <w:szCs w:val="24"/>
                    </w:rPr>
                    <w:t>A</w:t>
                  </w:r>
                </w:p>
              </w:txbxContent>
            </v:textbox>
          </v:shape>
        </w:pict>
      </w:r>
      <w:r w:rsidRPr="00026642">
        <w:rPr>
          <w:rFonts w:ascii="Times New Roman" w:hAnsi="Times New Roman"/>
          <w:b/>
          <w:noProof/>
          <w:sz w:val="24"/>
          <w:szCs w:val="24"/>
          <w:lang w:eastAsia="pt-BR"/>
        </w:rPr>
        <w:pict>
          <v:shape id="_x0000_s1027" type="#_x0000_t202" style="position:absolute;margin-left:214.5pt;margin-top:1.7pt;width:29.35pt;height:22.85pt;z-index:251661312;mso-width-relative:margin;mso-height-relative:margin" stroked="f" strokecolor="white">
            <v:fill opacity="0"/>
            <v:textbox style="mso-next-textbox:#_x0000_s1027">
              <w:txbxContent>
                <w:p w:rsidR="006D0856" w:rsidRPr="00B64FBC" w:rsidRDefault="006D0856" w:rsidP="006D0856">
                  <w:pPr>
                    <w:rPr>
                      <w:rFonts w:ascii="Times New Roman" w:hAnsi="Times New Roman"/>
                      <w:sz w:val="24"/>
                      <w:szCs w:val="24"/>
                    </w:rPr>
                  </w:pPr>
                  <w:r>
                    <w:rPr>
                      <w:rFonts w:ascii="Times New Roman" w:hAnsi="Times New Roman"/>
                      <w:sz w:val="24"/>
                      <w:szCs w:val="24"/>
                    </w:rPr>
                    <w:t>B</w:t>
                  </w:r>
                </w:p>
              </w:txbxContent>
            </v:textbox>
          </v:shape>
        </w:pict>
      </w:r>
      <w:r w:rsidR="006D0856">
        <w:rPr>
          <w:rFonts w:ascii="Times New Roman" w:hAnsi="Times New Roman"/>
          <w:noProof/>
          <w:sz w:val="24"/>
          <w:szCs w:val="24"/>
          <w:lang w:eastAsia="pt-BR"/>
        </w:rPr>
        <w:drawing>
          <wp:inline distT="0" distB="0" distL="0" distR="0">
            <wp:extent cx="2628900" cy="1257300"/>
            <wp:effectExtent l="19050" t="19050" r="19050" b="19050"/>
            <wp:docPr id="1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5" cstate="print"/>
                    <a:srcRect/>
                    <a:stretch>
                      <a:fillRect/>
                    </a:stretch>
                  </pic:blipFill>
                  <pic:spPr bwMode="auto">
                    <a:xfrm>
                      <a:off x="0" y="0"/>
                      <a:ext cx="2628900" cy="1257300"/>
                    </a:xfrm>
                    <a:prstGeom prst="rect">
                      <a:avLst/>
                    </a:prstGeom>
                    <a:noFill/>
                    <a:ln w="9525" cmpd="sng">
                      <a:solidFill>
                        <a:srgbClr val="000000"/>
                      </a:solidFill>
                      <a:miter lim="800000"/>
                      <a:headEnd/>
                      <a:tailEnd/>
                    </a:ln>
                    <a:effectLst/>
                  </pic:spPr>
                </pic:pic>
              </a:graphicData>
            </a:graphic>
          </wp:inline>
        </w:drawing>
      </w:r>
      <w:r w:rsidR="006D0856">
        <w:rPr>
          <w:rFonts w:ascii="Times New Roman" w:hAnsi="Times New Roman"/>
          <w:noProof/>
          <w:sz w:val="24"/>
          <w:szCs w:val="24"/>
          <w:lang w:eastAsia="pt-BR"/>
        </w:rPr>
        <w:drawing>
          <wp:inline distT="0" distB="0" distL="0" distR="0">
            <wp:extent cx="2628900" cy="1257300"/>
            <wp:effectExtent l="19050" t="19050" r="19050" b="19050"/>
            <wp:docPr id="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6" cstate="print"/>
                    <a:srcRect/>
                    <a:stretch>
                      <a:fillRect/>
                    </a:stretch>
                  </pic:blipFill>
                  <pic:spPr bwMode="auto">
                    <a:xfrm>
                      <a:off x="0" y="0"/>
                      <a:ext cx="2628900" cy="1257300"/>
                    </a:xfrm>
                    <a:prstGeom prst="rect">
                      <a:avLst/>
                    </a:prstGeom>
                    <a:noFill/>
                    <a:ln w="9525" cmpd="sng">
                      <a:solidFill>
                        <a:srgbClr val="000000"/>
                      </a:solidFill>
                      <a:miter lim="800000"/>
                      <a:headEnd/>
                      <a:tailEnd/>
                    </a:ln>
                    <a:effectLst/>
                  </pic:spPr>
                </pic:pic>
              </a:graphicData>
            </a:graphic>
          </wp:inline>
        </w:drawing>
      </w:r>
    </w:p>
    <w:p w:rsidR="00CB12BE" w:rsidRPr="005443B6" w:rsidRDefault="00CB12BE" w:rsidP="00CB12BE">
      <w:pPr>
        <w:spacing w:line="480" w:lineRule="auto"/>
        <w:jc w:val="both"/>
        <w:rPr>
          <w:rFonts w:ascii="Times New Roman" w:hAnsi="Times New Roman"/>
          <w:sz w:val="24"/>
          <w:szCs w:val="24"/>
        </w:rPr>
      </w:pPr>
      <w:proofErr w:type="gramStart"/>
      <w:r w:rsidRPr="00200F08">
        <w:rPr>
          <w:rStyle w:val="hps"/>
          <w:rFonts w:ascii="Times New Roman" w:hAnsi="Times New Roman"/>
          <w:b/>
          <w:sz w:val="24"/>
          <w:szCs w:val="24"/>
          <w:lang w:val="en-US"/>
        </w:rPr>
        <w:t>Figure</w:t>
      </w:r>
      <w:r w:rsidRPr="00200F08">
        <w:rPr>
          <w:rFonts w:ascii="Times New Roman" w:hAnsi="Times New Roman"/>
          <w:b/>
          <w:sz w:val="24"/>
          <w:szCs w:val="24"/>
          <w:lang w:val="en-US"/>
        </w:rPr>
        <w:t xml:space="preserve"> </w:t>
      </w:r>
      <w:r w:rsidRPr="00200F08">
        <w:rPr>
          <w:rStyle w:val="hps"/>
          <w:rFonts w:ascii="Times New Roman" w:hAnsi="Times New Roman"/>
          <w:b/>
          <w:sz w:val="24"/>
          <w:szCs w:val="24"/>
          <w:lang w:val="en-US"/>
        </w:rPr>
        <w:t>1</w:t>
      </w:r>
      <w:r w:rsidRPr="00200F08">
        <w:rPr>
          <w:rFonts w:ascii="Times New Roman" w:hAnsi="Times New Roman"/>
          <w:b/>
          <w:sz w:val="24"/>
          <w:szCs w:val="24"/>
          <w:lang w:val="en-US"/>
        </w:rPr>
        <w:t>.</w:t>
      </w:r>
      <w:proofErr w:type="gramEnd"/>
      <w:r w:rsidRPr="00200F08">
        <w:rPr>
          <w:rFonts w:ascii="Times New Roman" w:hAnsi="Times New Roman"/>
          <w:sz w:val="24"/>
          <w:szCs w:val="24"/>
          <w:lang w:val="en-US"/>
        </w:rPr>
        <w:t xml:space="preserve"> </w:t>
      </w:r>
      <w:r w:rsidRPr="005443B6">
        <w:rPr>
          <w:rStyle w:val="hps"/>
          <w:rFonts w:ascii="Times New Roman" w:hAnsi="Times New Roman"/>
          <w:sz w:val="24"/>
          <w:szCs w:val="24"/>
          <w:lang w:val="en-US"/>
        </w:rPr>
        <w:t>Map</w:t>
      </w:r>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of Pernambuco</w:t>
      </w:r>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with</w:t>
      </w:r>
      <w:r w:rsidRPr="005443B6">
        <w:rPr>
          <w:rFonts w:ascii="Times New Roman" w:hAnsi="Times New Roman"/>
          <w:sz w:val="24"/>
          <w:szCs w:val="24"/>
          <w:lang w:val="en-US"/>
        </w:rPr>
        <w:t xml:space="preserve"> </w:t>
      </w:r>
      <w:proofErr w:type="spellStart"/>
      <w:r w:rsidRPr="005443B6">
        <w:rPr>
          <w:rStyle w:val="hps"/>
          <w:rFonts w:ascii="Times New Roman" w:hAnsi="Times New Roman"/>
          <w:sz w:val="24"/>
          <w:szCs w:val="24"/>
          <w:lang w:val="en-US"/>
        </w:rPr>
        <w:t>Mesoregions</w:t>
      </w:r>
      <w:proofErr w:type="spellEnd"/>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w:t>
      </w:r>
      <w:r w:rsidRPr="005443B6">
        <w:rPr>
          <w:rFonts w:ascii="Times New Roman" w:hAnsi="Times New Roman"/>
          <w:sz w:val="24"/>
          <w:szCs w:val="24"/>
          <w:lang w:val="en-US"/>
        </w:rPr>
        <w:t xml:space="preserve">A): </w:t>
      </w:r>
      <w:r w:rsidRPr="005443B6">
        <w:rPr>
          <w:rStyle w:val="hps"/>
          <w:rFonts w:ascii="Times New Roman" w:hAnsi="Times New Roman"/>
          <w:sz w:val="24"/>
          <w:szCs w:val="24"/>
          <w:lang w:val="en-US"/>
        </w:rPr>
        <w:t>Metropolitan</w:t>
      </w:r>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(1)</w:t>
      </w:r>
      <w:r w:rsidRPr="005443B6">
        <w:rPr>
          <w:rFonts w:ascii="Times New Roman" w:hAnsi="Times New Roman"/>
          <w:sz w:val="24"/>
          <w:szCs w:val="24"/>
          <w:lang w:val="en-US"/>
        </w:rPr>
        <w:t xml:space="preserve">, Zone of Forest </w:t>
      </w:r>
      <w:r w:rsidRPr="005443B6">
        <w:rPr>
          <w:rStyle w:val="hps"/>
          <w:rFonts w:ascii="Times New Roman" w:hAnsi="Times New Roman"/>
          <w:sz w:val="24"/>
          <w:szCs w:val="24"/>
          <w:lang w:val="en-US"/>
        </w:rPr>
        <w:t xml:space="preserve"> </w:t>
      </w:r>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(2),</w:t>
      </w:r>
      <w:r w:rsidRPr="005443B6">
        <w:rPr>
          <w:rFonts w:ascii="Times New Roman" w:hAnsi="Times New Roman"/>
          <w:sz w:val="24"/>
          <w:szCs w:val="24"/>
          <w:lang w:val="en-US"/>
        </w:rPr>
        <w:t xml:space="preserve"> </w:t>
      </w:r>
      <w:proofErr w:type="spellStart"/>
      <w:r w:rsidRPr="005443B6">
        <w:rPr>
          <w:rStyle w:val="hps"/>
          <w:rFonts w:ascii="Times New Roman" w:hAnsi="Times New Roman"/>
          <w:sz w:val="24"/>
          <w:szCs w:val="24"/>
          <w:lang w:val="en-US"/>
        </w:rPr>
        <w:t>Agreste</w:t>
      </w:r>
      <w:proofErr w:type="spellEnd"/>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(3),</w:t>
      </w:r>
      <w:r w:rsidRPr="005443B6">
        <w:rPr>
          <w:rFonts w:ascii="Times New Roman" w:hAnsi="Times New Roman"/>
          <w:sz w:val="24"/>
          <w:szCs w:val="24"/>
          <w:lang w:val="en-US"/>
        </w:rPr>
        <w:t xml:space="preserve"> </w:t>
      </w:r>
      <w:proofErr w:type="spellStart"/>
      <w:r w:rsidRPr="005443B6">
        <w:rPr>
          <w:rStyle w:val="hps"/>
          <w:rFonts w:ascii="Times New Roman" w:hAnsi="Times New Roman"/>
          <w:sz w:val="24"/>
          <w:szCs w:val="24"/>
          <w:lang w:val="en-US"/>
        </w:rPr>
        <w:t>Sertão</w:t>
      </w:r>
      <w:proofErr w:type="spellEnd"/>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(4) and</w:t>
      </w:r>
      <w:r w:rsidRPr="005443B6">
        <w:rPr>
          <w:rFonts w:ascii="Times New Roman" w:hAnsi="Times New Roman"/>
          <w:sz w:val="24"/>
          <w:szCs w:val="24"/>
          <w:lang w:val="en-US"/>
        </w:rPr>
        <w:t xml:space="preserve"> </w:t>
      </w:r>
      <w:proofErr w:type="spellStart"/>
      <w:r w:rsidRPr="005443B6">
        <w:rPr>
          <w:rStyle w:val="hps"/>
          <w:rFonts w:ascii="Times New Roman" w:hAnsi="Times New Roman"/>
          <w:sz w:val="24"/>
          <w:szCs w:val="24"/>
          <w:lang w:val="en-US"/>
        </w:rPr>
        <w:t>Sertão</w:t>
      </w:r>
      <w:proofErr w:type="spellEnd"/>
      <w:r w:rsidRPr="005443B6">
        <w:rPr>
          <w:rStyle w:val="hps"/>
          <w:rFonts w:ascii="Times New Roman" w:hAnsi="Times New Roman"/>
          <w:sz w:val="24"/>
          <w:szCs w:val="24"/>
          <w:lang w:val="en-US"/>
        </w:rPr>
        <w:t xml:space="preserve"> of</w:t>
      </w:r>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San Francisco</w:t>
      </w:r>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(5).</w:t>
      </w:r>
      <w:r w:rsidRPr="005443B6">
        <w:rPr>
          <w:rFonts w:ascii="Times New Roman" w:hAnsi="Times New Roman"/>
          <w:sz w:val="24"/>
          <w:szCs w:val="24"/>
          <w:lang w:val="en-US"/>
        </w:rPr>
        <w:t xml:space="preserve"> </w:t>
      </w:r>
      <w:r w:rsidRPr="005443B6">
        <w:rPr>
          <w:rStyle w:val="hps"/>
          <w:rFonts w:ascii="Times New Roman" w:hAnsi="Times New Roman"/>
          <w:sz w:val="24"/>
          <w:szCs w:val="24"/>
        </w:rPr>
        <w:t>SUDENE</w:t>
      </w:r>
      <w:r w:rsidRPr="005443B6">
        <w:rPr>
          <w:rFonts w:ascii="Times New Roman" w:hAnsi="Times New Roman"/>
          <w:sz w:val="24"/>
          <w:szCs w:val="24"/>
        </w:rPr>
        <w:t xml:space="preserve"> </w:t>
      </w:r>
      <w:proofErr w:type="spellStart"/>
      <w:r w:rsidRPr="005443B6">
        <w:rPr>
          <w:rStyle w:val="hps"/>
          <w:rFonts w:ascii="Times New Roman" w:hAnsi="Times New Roman"/>
          <w:sz w:val="24"/>
          <w:szCs w:val="24"/>
        </w:rPr>
        <w:t>climatological</w:t>
      </w:r>
      <w:proofErr w:type="spellEnd"/>
      <w:r w:rsidRPr="005443B6">
        <w:rPr>
          <w:rFonts w:ascii="Times New Roman" w:hAnsi="Times New Roman"/>
          <w:sz w:val="24"/>
          <w:szCs w:val="24"/>
        </w:rPr>
        <w:t xml:space="preserve"> </w:t>
      </w:r>
      <w:proofErr w:type="spellStart"/>
      <w:r w:rsidRPr="005443B6">
        <w:rPr>
          <w:rStyle w:val="hps"/>
          <w:rFonts w:ascii="Times New Roman" w:hAnsi="Times New Roman"/>
          <w:sz w:val="24"/>
          <w:szCs w:val="24"/>
        </w:rPr>
        <w:t>stations</w:t>
      </w:r>
      <w:proofErr w:type="spellEnd"/>
      <w:r w:rsidRPr="005443B6">
        <w:rPr>
          <w:rFonts w:ascii="Times New Roman" w:hAnsi="Times New Roman"/>
          <w:sz w:val="24"/>
          <w:szCs w:val="24"/>
        </w:rPr>
        <w:t xml:space="preserve"> </w:t>
      </w:r>
      <w:r w:rsidRPr="005443B6">
        <w:rPr>
          <w:rStyle w:val="hps"/>
          <w:rFonts w:ascii="Times New Roman" w:hAnsi="Times New Roman"/>
          <w:sz w:val="24"/>
          <w:szCs w:val="24"/>
        </w:rPr>
        <w:t xml:space="preserve">in the </w:t>
      </w:r>
      <w:proofErr w:type="spellStart"/>
      <w:r w:rsidRPr="005443B6">
        <w:rPr>
          <w:rStyle w:val="hps"/>
          <w:rFonts w:ascii="Times New Roman" w:hAnsi="Times New Roman"/>
          <w:sz w:val="24"/>
          <w:szCs w:val="24"/>
        </w:rPr>
        <w:t>state</w:t>
      </w:r>
      <w:proofErr w:type="spellEnd"/>
      <w:r w:rsidRPr="005443B6">
        <w:rPr>
          <w:rStyle w:val="hps"/>
          <w:rFonts w:ascii="Times New Roman" w:hAnsi="Times New Roman"/>
          <w:sz w:val="24"/>
          <w:szCs w:val="24"/>
        </w:rPr>
        <w:t xml:space="preserve"> of</w:t>
      </w:r>
      <w:r w:rsidRPr="005443B6">
        <w:rPr>
          <w:rFonts w:ascii="Times New Roman" w:hAnsi="Times New Roman"/>
          <w:sz w:val="24"/>
          <w:szCs w:val="24"/>
        </w:rPr>
        <w:t xml:space="preserve"> </w:t>
      </w:r>
      <w:r w:rsidRPr="005443B6">
        <w:rPr>
          <w:rStyle w:val="hps"/>
          <w:rFonts w:ascii="Times New Roman" w:hAnsi="Times New Roman"/>
          <w:sz w:val="24"/>
          <w:szCs w:val="24"/>
        </w:rPr>
        <w:t>Pernambuco</w:t>
      </w:r>
      <w:r w:rsidRPr="005443B6">
        <w:rPr>
          <w:rFonts w:ascii="Times New Roman" w:hAnsi="Times New Roman"/>
          <w:sz w:val="24"/>
          <w:szCs w:val="24"/>
        </w:rPr>
        <w:t xml:space="preserve"> </w:t>
      </w:r>
      <w:r w:rsidRPr="005443B6">
        <w:rPr>
          <w:rStyle w:val="hps"/>
          <w:rFonts w:ascii="Times New Roman" w:hAnsi="Times New Roman"/>
          <w:sz w:val="24"/>
          <w:szCs w:val="24"/>
        </w:rPr>
        <w:t>(</w:t>
      </w:r>
      <w:r w:rsidRPr="005443B6">
        <w:rPr>
          <w:rFonts w:ascii="Times New Roman" w:hAnsi="Times New Roman"/>
          <w:sz w:val="24"/>
          <w:szCs w:val="24"/>
        </w:rPr>
        <w:t>B).</w:t>
      </w:r>
    </w:p>
    <w:p w:rsidR="006D0856" w:rsidRPr="00526AA2" w:rsidRDefault="006D0856" w:rsidP="00753FA3">
      <w:pPr>
        <w:spacing w:line="480" w:lineRule="auto"/>
        <w:ind w:firstLine="600"/>
        <w:jc w:val="both"/>
        <w:rPr>
          <w:rFonts w:ascii="Times New Roman" w:hAnsi="Times New Roman"/>
          <w:sz w:val="24"/>
          <w:szCs w:val="24"/>
        </w:rPr>
      </w:pPr>
      <w:r w:rsidRPr="00526AA2">
        <w:rPr>
          <w:rFonts w:ascii="Times New Roman" w:hAnsi="Times New Roman"/>
          <w:sz w:val="24"/>
          <w:szCs w:val="24"/>
        </w:rPr>
        <w:lastRenderedPageBreak/>
        <w:t>Para que pudesse ser feita a espacialização das informações, por meio do SIG</w:t>
      </w:r>
      <w:r>
        <w:rPr>
          <w:rFonts w:ascii="Times New Roman" w:hAnsi="Times New Roman"/>
          <w:sz w:val="24"/>
          <w:szCs w:val="24"/>
        </w:rPr>
        <w:t xml:space="preserve"> (Sistema de Informações Geográficas)</w:t>
      </w:r>
      <w:r w:rsidRPr="00526AA2">
        <w:rPr>
          <w:rFonts w:ascii="Times New Roman" w:hAnsi="Times New Roman"/>
          <w:sz w:val="24"/>
          <w:szCs w:val="24"/>
        </w:rPr>
        <w:t xml:space="preserve"> utilizado no trabalho, foram usados dados de estações que se encontram distribuídos nas </w:t>
      </w:r>
      <w:r w:rsidR="00E447A2">
        <w:rPr>
          <w:rFonts w:ascii="Times New Roman" w:hAnsi="Times New Roman"/>
          <w:sz w:val="24"/>
          <w:szCs w:val="24"/>
        </w:rPr>
        <w:t xml:space="preserve">quatro </w:t>
      </w:r>
      <w:r w:rsidRPr="00526AA2">
        <w:rPr>
          <w:rFonts w:ascii="Times New Roman" w:hAnsi="Times New Roman"/>
          <w:sz w:val="24"/>
          <w:szCs w:val="24"/>
        </w:rPr>
        <w:t xml:space="preserve">Mesorregiões do Estado de Pernambuco. O </w:t>
      </w:r>
      <w:r>
        <w:rPr>
          <w:rFonts w:ascii="Times New Roman" w:hAnsi="Times New Roman"/>
          <w:sz w:val="24"/>
          <w:szCs w:val="24"/>
        </w:rPr>
        <w:t>conjunto de dados foi georrefere</w:t>
      </w:r>
      <w:r w:rsidRPr="00526AA2">
        <w:rPr>
          <w:rFonts w:ascii="Times New Roman" w:hAnsi="Times New Roman"/>
          <w:sz w:val="24"/>
          <w:szCs w:val="24"/>
        </w:rPr>
        <w:t>nciado por meio das latitudes e longitudes das estações, onde em um arquivo tipo “</w:t>
      </w:r>
      <w:r w:rsidRPr="00526AA2">
        <w:rPr>
          <w:rFonts w:ascii="Times New Roman" w:hAnsi="Times New Roman"/>
          <w:i/>
          <w:sz w:val="24"/>
          <w:szCs w:val="24"/>
        </w:rPr>
        <w:t>worksheet</w:t>
      </w:r>
      <w:r w:rsidRPr="00526AA2">
        <w:rPr>
          <w:rFonts w:ascii="Times New Roman" w:hAnsi="Times New Roman"/>
          <w:sz w:val="24"/>
          <w:szCs w:val="24"/>
        </w:rPr>
        <w:t xml:space="preserve">”, contendo informações X, Y e Z, em que X é a latitude, Y é a longitude das estações e Z é o valor da variável a ser espacializada. O mapa vetorial do contorno do Estado de Pernambuco, utilizado como “máscara”, foi </w:t>
      </w:r>
      <w:proofErr w:type="gramStart"/>
      <w:r w:rsidRPr="00526AA2">
        <w:rPr>
          <w:rFonts w:ascii="Times New Roman" w:hAnsi="Times New Roman"/>
          <w:sz w:val="24"/>
          <w:szCs w:val="24"/>
        </w:rPr>
        <w:t>obtido</w:t>
      </w:r>
      <w:proofErr w:type="gramEnd"/>
      <w:r w:rsidRPr="00526AA2">
        <w:rPr>
          <w:rFonts w:ascii="Times New Roman" w:hAnsi="Times New Roman"/>
          <w:sz w:val="24"/>
          <w:szCs w:val="24"/>
        </w:rPr>
        <w:t xml:space="preserve"> através do </w:t>
      </w:r>
      <w:r w:rsidRPr="00526AA2">
        <w:rPr>
          <w:rStyle w:val="style51"/>
          <w:rFonts w:ascii="Times New Roman" w:hAnsi="Times New Roman"/>
          <w:sz w:val="24"/>
          <w:szCs w:val="24"/>
        </w:rPr>
        <w:t xml:space="preserve">ITEP/LAMEPE – Instituto Tecnológico de Pernambuco / Laboratório de Meteorologia de Pernambuco. A interpolação dos dados para a </w:t>
      </w:r>
      <w:proofErr w:type="spellStart"/>
      <w:r w:rsidRPr="00526AA2">
        <w:rPr>
          <w:rStyle w:val="style51"/>
          <w:rFonts w:ascii="Times New Roman" w:hAnsi="Times New Roman"/>
          <w:sz w:val="24"/>
          <w:szCs w:val="24"/>
        </w:rPr>
        <w:t>plotagem</w:t>
      </w:r>
      <w:proofErr w:type="spellEnd"/>
      <w:r w:rsidRPr="00526AA2">
        <w:rPr>
          <w:rStyle w:val="style51"/>
          <w:rFonts w:ascii="Times New Roman" w:hAnsi="Times New Roman"/>
          <w:sz w:val="24"/>
          <w:szCs w:val="24"/>
        </w:rPr>
        <w:t xml:space="preserve"> no contorno do Estado foi feita utilizando o Método de </w:t>
      </w:r>
      <w:proofErr w:type="spellStart"/>
      <w:r w:rsidRPr="00526AA2">
        <w:rPr>
          <w:rStyle w:val="style51"/>
          <w:rFonts w:ascii="Times New Roman" w:hAnsi="Times New Roman"/>
          <w:sz w:val="24"/>
          <w:szCs w:val="24"/>
        </w:rPr>
        <w:t>Krigagem</w:t>
      </w:r>
      <w:proofErr w:type="spellEnd"/>
      <w:r w:rsidRPr="00526AA2">
        <w:rPr>
          <w:rStyle w:val="style51"/>
          <w:rFonts w:ascii="Times New Roman" w:hAnsi="Times New Roman"/>
          <w:sz w:val="24"/>
          <w:szCs w:val="24"/>
        </w:rPr>
        <w:t xml:space="preserve"> dentro do programa </w:t>
      </w:r>
      <w:proofErr w:type="spellStart"/>
      <w:r w:rsidRPr="00526AA2">
        <w:rPr>
          <w:rFonts w:ascii="Times New Roman" w:hAnsi="Times New Roman"/>
          <w:sz w:val="24"/>
          <w:szCs w:val="24"/>
        </w:rPr>
        <w:t>Surfer</w:t>
      </w:r>
      <w:proofErr w:type="spellEnd"/>
      <w:r w:rsidRPr="00526AA2">
        <w:rPr>
          <w:rFonts w:ascii="Times New Roman" w:hAnsi="Times New Roman"/>
          <w:sz w:val="24"/>
          <w:szCs w:val="24"/>
          <w:vertAlign w:val="superscript"/>
        </w:rPr>
        <w:t>®</w:t>
      </w:r>
      <w:r w:rsidRPr="00526AA2">
        <w:rPr>
          <w:rFonts w:ascii="Times New Roman" w:hAnsi="Times New Roman"/>
          <w:sz w:val="24"/>
          <w:szCs w:val="24"/>
        </w:rPr>
        <w:t xml:space="preserve"> versão demo 8.03 (Golden Software, 2006).</w:t>
      </w:r>
    </w:p>
    <w:p w:rsidR="006D0856" w:rsidRPr="006D0856" w:rsidRDefault="006D0856" w:rsidP="00753FA3">
      <w:pPr>
        <w:spacing w:line="480" w:lineRule="auto"/>
        <w:jc w:val="both"/>
        <w:rPr>
          <w:rFonts w:ascii="Times New Roman" w:hAnsi="Times New Roman"/>
          <w:sz w:val="24"/>
          <w:szCs w:val="24"/>
        </w:rPr>
      </w:pPr>
      <w:r w:rsidRPr="00526AA2">
        <w:rPr>
          <w:rFonts w:ascii="Times New Roman" w:hAnsi="Times New Roman"/>
          <w:sz w:val="24"/>
          <w:szCs w:val="24"/>
        </w:rPr>
        <w:tab/>
        <w:t xml:space="preserve">A função de densidade de probabilidade da distribuição gama incompleta foi utilizada para avaliar a ocorrência de anos secos, normais e chuvosos em todos os dados das estações como mostra a equação </w:t>
      </w:r>
      <w:proofErr w:type="gramStart"/>
      <w:r w:rsidRPr="00526AA2">
        <w:rPr>
          <w:rFonts w:ascii="Times New Roman" w:hAnsi="Times New Roman"/>
          <w:sz w:val="24"/>
          <w:szCs w:val="24"/>
        </w:rPr>
        <w:t>1</w:t>
      </w:r>
      <w:proofErr w:type="gramEnd"/>
      <w:r w:rsidRPr="00526AA2">
        <w:rPr>
          <w:rFonts w:ascii="Times New Roman" w:hAnsi="Times New Roman"/>
          <w:sz w:val="24"/>
          <w:szCs w:val="24"/>
        </w:rPr>
        <w:t>:</w:t>
      </w:r>
    </w:p>
    <w:p w:rsidR="00C75741" w:rsidRPr="006D0856" w:rsidRDefault="006D0856" w:rsidP="00753FA3">
      <w:pPr>
        <w:spacing w:line="480" w:lineRule="auto"/>
        <w:rPr>
          <w:rFonts w:ascii="Times New Roman" w:hAnsi="Times New Roman"/>
          <w:sz w:val="24"/>
          <w:szCs w:val="24"/>
        </w:rPr>
      </w:pPr>
      <m:oMath>
        <m:r>
          <w:rPr>
            <w:rFonts w:ascii="Cambria Math" w:hAnsi="Cambria Math"/>
            <w:sz w:val="28"/>
            <w:szCs w:val="28"/>
          </w:rPr>
          <m:t>g</m:t>
        </m:r>
        <m:d>
          <m:dPr>
            <m:ctrlPr>
              <w:rPr>
                <w:rFonts w:ascii="Cambria Math" w:hAnsi="Times New Roman"/>
                <w:i/>
                <w:sz w:val="28"/>
                <w:szCs w:val="28"/>
              </w:rPr>
            </m:ctrlPr>
          </m:dPr>
          <m:e>
            <m:r>
              <w:rPr>
                <w:rFonts w:ascii="Cambria Math" w:hAnsi="Cambria Math"/>
                <w:sz w:val="28"/>
                <w:szCs w:val="28"/>
              </w:rPr>
              <m:t>x</m:t>
            </m:r>
            <m:r>
              <w:rPr>
                <w:rFonts w:ascii="Cambria Math" w:hAnsi="Times New Roman"/>
                <w:sz w:val="28"/>
                <w:szCs w:val="28"/>
              </w:rPr>
              <m:t>;</m:t>
            </m:r>
            <m:r>
              <w:rPr>
                <w:rFonts w:ascii="Cambria Math" w:hAnsi="Cambria Math"/>
                <w:sz w:val="28"/>
                <w:szCs w:val="28"/>
              </w:rPr>
              <m:t>y</m:t>
            </m:r>
            <m:r>
              <w:rPr>
                <w:rFonts w:ascii="Cambria Math" w:hAnsi="Times New Roman"/>
                <w:sz w:val="28"/>
                <w:szCs w:val="28"/>
              </w:rPr>
              <m:t>;</m:t>
            </m:r>
            <m:r>
              <w:rPr>
                <w:rFonts w:ascii="Cambria Math" w:hAnsi="Cambria Math"/>
                <w:sz w:val="28"/>
                <w:szCs w:val="28"/>
              </w:rPr>
              <m:t>μ</m:t>
            </m:r>
          </m:e>
        </m:d>
        <m:r>
          <w:rPr>
            <w:rFonts w:ascii="Cambria Math" w:hAnsi="Times New Roman"/>
            <w:sz w:val="28"/>
            <w:szCs w:val="28"/>
          </w:rPr>
          <m:t>=</m:t>
        </m:r>
        <m:d>
          <m:dPr>
            <m:begChr m:val="["/>
            <m:endChr m:val="]"/>
            <m:ctrlPr>
              <w:rPr>
                <w:rFonts w:ascii="Cambria Math" w:hAnsi="Times New Roman"/>
                <w:i/>
                <w:sz w:val="28"/>
                <w:szCs w:val="28"/>
              </w:rPr>
            </m:ctrlPr>
          </m:dPr>
          <m:e>
            <m:f>
              <m:fPr>
                <m:ctrlPr>
                  <w:rPr>
                    <w:rFonts w:ascii="Cambria Math" w:hAnsi="Times New Roman"/>
                    <w:i/>
                    <w:sz w:val="28"/>
                    <w:szCs w:val="28"/>
                  </w:rPr>
                </m:ctrlPr>
              </m:fPr>
              <m:num>
                <m:r>
                  <w:rPr>
                    <w:rFonts w:ascii="Cambria Math" w:hAnsi="Times New Roman"/>
                    <w:sz w:val="28"/>
                    <w:szCs w:val="28"/>
                  </w:rPr>
                  <m:t>1</m:t>
                </m:r>
              </m:num>
              <m:den>
                <m:r>
                  <w:rPr>
                    <w:rFonts w:ascii="Cambria Math" w:hAnsi="Cambria Math"/>
                    <w:sz w:val="28"/>
                    <w:szCs w:val="28"/>
                  </w:rPr>
                  <m:t>Γ</m:t>
                </m:r>
                <m:r>
                  <w:rPr>
                    <w:rFonts w:ascii="Cambria Math" w:hAnsi="Times New Roman"/>
                    <w:sz w:val="28"/>
                    <w:szCs w:val="28"/>
                  </w:rPr>
                  <m:t>(</m:t>
                </m:r>
                <m:r>
                  <w:rPr>
                    <w:rFonts w:ascii="Cambria Math" w:hAnsi="Cambria Math"/>
                    <w:sz w:val="28"/>
                    <w:szCs w:val="28"/>
                  </w:rPr>
                  <m:t>y</m:t>
                </m:r>
                <m:r>
                  <w:rPr>
                    <w:rFonts w:ascii="Cambria Math" w:hAnsi="Times New Roman"/>
                    <w:sz w:val="28"/>
                    <w:szCs w:val="28"/>
                  </w:rPr>
                  <m:t>)</m:t>
                </m:r>
              </m:den>
            </m:f>
          </m:e>
        </m:d>
        <m:d>
          <m:dPr>
            <m:begChr m:val="["/>
            <m:endChr m:val="]"/>
            <m:ctrlPr>
              <w:rPr>
                <w:rFonts w:ascii="Cambria Math" w:hAnsi="Times New Roman"/>
                <w:i/>
                <w:sz w:val="28"/>
                <w:szCs w:val="28"/>
              </w:rPr>
            </m:ctrlPr>
          </m:dPr>
          <m:e>
            <m:f>
              <m:fPr>
                <m:ctrlPr>
                  <w:rPr>
                    <w:rFonts w:ascii="Cambria Math" w:hAnsi="Times New Roman"/>
                    <w:i/>
                    <w:sz w:val="28"/>
                    <w:szCs w:val="28"/>
                  </w:rPr>
                </m:ctrlPr>
              </m:fPr>
              <m:num>
                <m:r>
                  <w:rPr>
                    <w:rFonts w:ascii="Cambria Math" w:hAnsi="Cambria Math"/>
                    <w:sz w:val="28"/>
                    <w:szCs w:val="28"/>
                  </w:rPr>
                  <m:t>y</m:t>
                </m:r>
              </m:num>
              <m:den>
                <m:r>
                  <w:rPr>
                    <w:rFonts w:ascii="Cambria Math" w:hAnsi="Cambria Math"/>
                    <w:sz w:val="28"/>
                    <w:szCs w:val="28"/>
                  </w:rPr>
                  <m:t>μ</m:t>
                </m:r>
              </m:den>
            </m:f>
            <m:sSup>
              <m:sSupPr>
                <m:ctrlPr>
                  <w:rPr>
                    <w:rFonts w:ascii="Cambria Math" w:hAnsi="Times New Roman"/>
                    <w:i/>
                    <w:sz w:val="28"/>
                    <w:szCs w:val="28"/>
                  </w:rPr>
                </m:ctrlPr>
              </m:sSupPr>
              <m:e>
                <m:r>
                  <w:rPr>
                    <w:rFonts w:ascii="Cambria Math" w:hAnsi="Cambria Math"/>
                    <w:sz w:val="28"/>
                    <w:szCs w:val="28"/>
                  </w:rPr>
                  <m:t>yx</m:t>
                </m:r>
              </m:e>
              <m:sup>
                <m:r>
                  <w:rPr>
                    <w:rFonts w:ascii="Cambria Math" w:hAnsi="Cambria Math"/>
                    <w:sz w:val="28"/>
                    <w:szCs w:val="28"/>
                  </w:rPr>
                  <m:t>y</m:t>
                </m:r>
                <m:r>
                  <w:rPr>
                    <w:rFonts w:ascii="Times New Roman" w:hAnsi="Times New Roman"/>
                    <w:sz w:val="28"/>
                    <w:szCs w:val="28"/>
                  </w:rPr>
                  <m:t>-</m:t>
                </m:r>
                <m:r>
                  <w:rPr>
                    <w:rFonts w:ascii="Cambria Math" w:hAnsi="Times New Roman"/>
                    <w:sz w:val="28"/>
                    <w:szCs w:val="28"/>
                  </w:rPr>
                  <m:t>1</m:t>
                </m:r>
              </m:sup>
            </m:sSup>
            <m:sSup>
              <m:sSupPr>
                <m:ctrlPr>
                  <w:rPr>
                    <w:rFonts w:ascii="Cambria Math" w:hAnsi="Times New Roman"/>
                    <w:i/>
                    <w:sz w:val="28"/>
                    <w:szCs w:val="28"/>
                  </w:rPr>
                </m:ctrlPr>
              </m:sSupPr>
              <m:e>
                <m:r>
                  <w:rPr>
                    <w:rFonts w:ascii="Cambria Math" w:hAnsi="Cambria Math"/>
                    <w:sz w:val="28"/>
                    <w:szCs w:val="28"/>
                  </w:rPr>
                  <m:t>e</m:t>
                </m:r>
              </m:e>
              <m:sup>
                <m:f>
                  <m:fPr>
                    <m:ctrlPr>
                      <w:rPr>
                        <w:rFonts w:ascii="Cambria Math" w:hAnsi="Times New Roman"/>
                        <w:i/>
                        <w:sz w:val="28"/>
                        <w:szCs w:val="28"/>
                      </w:rPr>
                    </m:ctrlPr>
                  </m:fPr>
                  <m:num>
                    <m:r>
                      <w:rPr>
                        <w:rFonts w:ascii="Times New Roman" w:hAnsi="Times New Roman"/>
                        <w:sz w:val="28"/>
                        <w:szCs w:val="28"/>
                      </w:rPr>
                      <m:t>-</m:t>
                    </m:r>
                    <m:r>
                      <w:rPr>
                        <w:rFonts w:ascii="Cambria Math" w:hAnsi="Cambria Math"/>
                        <w:sz w:val="28"/>
                        <w:szCs w:val="28"/>
                      </w:rPr>
                      <m:t>xy</m:t>
                    </m:r>
                  </m:num>
                  <m:den>
                    <m:r>
                      <w:rPr>
                        <w:rFonts w:ascii="Cambria Math" w:hAnsi="Cambria Math"/>
                        <w:sz w:val="28"/>
                        <w:szCs w:val="28"/>
                      </w:rPr>
                      <m:t>μ</m:t>
                    </m:r>
                  </m:den>
                </m:f>
              </m:sup>
            </m:sSup>
          </m:e>
        </m:d>
      </m:oMath>
      <w:r>
        <w:rPr>
          <w:sz w:val="28"/>
          <w:szCs w:val="28"/>
        </w:rPr>
        <w:t xml:space="preserve">                                                                   </w:t>
      </w:r>
      <w:r w:rsidRPr="006D0856">
        <w:rPr>
          <w:rFonts w:ascii="Times New Roman" w:hAnsi="Times New Roman"/>
          <w:sz w:val="24"/>
          <w:szCs w:val="24"/>
        </w:rPr>
        <w:t>(1)</w:t>
      </w:r>
    </w:p>
    <w:p w:rsidR="006D0856" w:rsidRPr="00526AA2" w:rsidRDefault="006D0856" w:rsidP="00753FA3">
      <w:pPr>
        <w:tabs>
          <w:tab w:val="left" w:pos="284"/>
        </w:tabs>
        <w:spacing w:line="480" w:lineRule="auto"/>
        <w:ind w:firstLine="709"/>
        <w:jc w:val="both"/>
        <w:rPr>
          <w:rFonts w:ascii="Times New Roman" w:eastAsiaTheme="minorEastAsia" w:hAnsi="Times New Roman"/>
          <w:sz w:val="24"/>
          <w:szCs w:val="24"/>
        </w:rPr>
      </w:pPr>
      <w:r w:rsidRPr="00526AA2">
        <w:rPr>
          <w:rFonts w:ascii="Times New Roman" w:hAnsi="Times New Roman"/>
          <w:sz w:val="24"/>
          <w:szCs w:val="24"/>
        </w:rPr>
        <w:t xml:space="preserve">Em que </w:t>
      </w:r>
      <w:r w:rsidRPr="00526AA2">
        <w:rPr>
          <w:rFonts w:ascii="Times New Roman" w:hAnsi="Times New Roman"/>
          <w:i/>
          <w:sz w:val="24"/>
          <w:szCs w:val="24"/>
        </w:rPr>
        <w:t>y</w:t>
      </w:r>
      <w:r w:rsidRPr="00526AA2">
        <w:rPr>
          <w:rFonts w:ascii="Times New Roman" w:hAnsi="Times New Roman"/>
          <w:sz w:val="24"/>
          <w:szCs w:val="24"/>
        </w:rPr>
        <w:t xml:space="preserve"> e µ são parâmetros a serem definidos para a amostra particular a qual se deseja ajustar a distribuição, µ é a média da amostra. O símbolo </w:t>
      </w:r>
      <m:oMath>
        <m:r>
          <w:rPr>
            <w:rFonts w:ascii="Cambria Math" w:hAnsi="Cambria Math"/>
            <w:sz w:val="24"/>
            <w:szCs w:val="24"/>
          </w:rPr>
          <m:t>Γ</m:t>
        </m:r>
      </m:oMath>
      <w:r w:rsidRPr="00526AA2">
        <w:rPr>
          <w:rFonts w:ascii="Times New Roman" w:eastAsiaTheme="minorEastAsia" w:hAnsi="Times New Roman"/>
          <w:sz w:val="24"/>
          <w:szCs w:val="24"/>
        </w:rPr>
        <w:t xml:space="preserve"> esta sendo usado para designar a conhecida função gama, ou seja:</w:t>
      </w:r>
    </w:p>
    <w:p w:rsidR="006D0856" w:rsidRPr="00526AA2" w:rsidRDefault="006D0856" w:rsidP="00753FA3">
      <w:pPr>
        <w:tabs>
          <w:tab w:val="left" w:pos="6900"/>
        </w:tabs>
        <w:spacing w:line="480" w:lineRule="auto"/>
        <w:rPr>
          <w:rFonts w:ascii="Times New Roman" w:eastAsiaTheme="minorEastAsia" w:hAnsi="Times New Roman"/>
          <w:sz w:val="24"/>
          <w:szCs w:val="24"/>
        </w:rPr>
      </w:pPr>
      <m:oMath>
        <m:r>
          <w:rPr>
            <w:rFonts w:ascii="Cambria Math" w:hAnsi="Cambria Math"/>
            <w:sz w:val="28"/>
            <w:szCs w:val="28"/>
          </w:rPr>
          <m:t>Γ</m:t>
        </m:r>
        <m:r>
          <w:rPr>
            <w:rFonts w:ascii="Cambria Math" w:hAnsi="Times New Roman"/>
            <w:sz w:val="28"/>
            <w:szCs w:val="28"/>
          </w:rPr>
          <m:t xml:space="preserve"> </m:t>
        </m:r>
        <m:d>
          <m:dPr>
            <m:ctrlPr>
              <w:rPr>
                <w:rFonts w:ascii="Cambria Math" w:hAnsi="Times New Roman"/>
                <w:i/>
                <w:sz w:val="28"/>
                <w:szCs w:val="28"/>
              </w:rPr>
            </m:ctrlPr>
          </m:dPr>
          <m:e>
            <m:r>
              <w:rPr>
                <w:rFonts w:ascii="Cambria Math" w:hAnsi="Cambria Math"/>
                <w:sz w:val="28"/>
                <w:szCs w:val="28"/>
              </w:rPr>
              <m:t>z</m:t>
            </m:r>
          </m:e>
        </m:d>
        <m:r>
          <w:rPr>
            <w:rFonts w:ascii="Cambria Math" w:hAnsi="Times New Roman"/>
            <w:sz w:val="28"/>
            <w:szCs w:val="28"/>
          </w:rPr>
          <m:t>=</m:t>
        </m:r>
        <m:nary>
          <m:naryPr>
            <m:limLoc m:val="subSup"/>
            <m:ctrlPr>
              <w:rPr>
                <w:rFonts w:ascii="Cambria Math" w:hAnsi="Times New Roman"/>
                <w:i/>
                <w:sz w:val="28"/>
                <w:szCs w:val="28"/>
              </w:rPr>
            </m:ctrlPr>
          </m:naryPr>
          <m:sub>
            <m:r>
              <w:rPr>
                <w:rFonts w:ascii="Cambria Math" w:hAnsi="Cambria Math"/>
                <w:sz w:val="28"/>
                <w:szCs w:val="28"/>
              </w:rPr>
              <m:t>o</m:t>
            </m:r>
          </m:sub>
          <m:sup>
            <m:r>
              <w:rPr>
                <w:rFonts w:ascii="Cambria Math" w:hAnsi="Times New Roman"/>
                <w:sz w:val="28"/>
                <w:szCs w:val="28"/>
              </w:rPr>
              <m:t>∞</m:t>
            </m:r>
          </m:sup>
          <m:e>
            <m:sSup>
              <m:sSupPr>
                <m:ctrlPr>
                  <w:rPr>
                    <w:rFonts w:ascii="Cambria Math" w:hAnsi="Times New Roman"/>
                    <w:i/>
                    <w:sz w:val="28"/>
                    <w:szCs w:val="28"/>
                  </w:rPr>
                </m:ctrlPr>
              </m:sSupPr>
              <m:e>
                <m:r>
                  <w:rPr>
                    <w:rFonts w:ascii="Cambria Math" w:hAnsi="Cambria Math"/>
                    <w:sz w:val="28"/>
                    <w:szCs w:val="28"/>
                  </w:rPr>
                  <m:t>t</m:t>
                </m:r>
              </m:e>
              <m:sup>
                <m:r>
                  <w:rPr>
                    <w:rFonts w:ascii="Cambria Math" w:hAnsi="Cambria Math"/>
                    <w:sz w:val="28"/>
                    <w:szCs w:val="28"/>
                  </w:rPr>
                  <m:t>z</m:t>
                </m:r>
                <m:r>
                  <w:rPr>
                    <w:rFonts w:ascii="Times New Roman" w:hAnsi="Times New Roman"/>
                    <w:sz w:val="28"/>
                    <w:szCs w:val="28"/>
                  </w:rPr>
                  <m:t>-</m:t>
                </m:r>
                <m:r>
                  <w:rPr>
                    <w:rFonts w:ascii="Cambria Math" w:hAnsi="Times New Roman"/>
                    <w:sz w:val="28"/>
                    <w:szCs w:val="28"/>
                  </w:rPr>
                  <m:t>1</m:t>
                </m:r>
              </m:sup>
            </m:sSup>
            <m:sSup>
              <m:sSupPr>
                <m:ctrlPr>
                  <w:rPr>
                    <w:rFonts w:ascii="Cambria Math" w:hAnsi="Times New Roman"/>
                    <w:i/>
                    <w:sz w:val="28"/>
                    <w:szCs w:val="28"/>
                  </w:rPr>
                </m:ctrlPr>
              </m:sSupPr>
              <m:e>
                <m:r>
                  <w:rPr>
                    <w:rFonts w:ascii="Cambria Math" w:hAnsi="Cambria Math"/>
                    <w:sz w:val="28"/>
                    <w:szCs w:val="28"/>
                  </w:rPr>
                  <m:t>e</m:t>
                </m:r>
              </m:e>
              <m:sup>
                <m:r>
                  <w:rPr>
                    <w:rFonts w:ascii="Times New Roman" w:hAnsi="Times New Roman"/>
                    <w:sz w:val="28"/>
                    <w:szCs w:val="28"/>
                  </w:rPr>
                  <m:t>-</m:t>
                </m:r>
                <m:r>
                  <w:rPr>
                    <w:rFonts w:ascii="Cambria Math" w:hAnsi="Cambria Math"/>
                    <w:sz w:val="28"/>
                    <w:szCs w:val="28"/>
                  </w:rPr>
                  <m:t>t</m:t>
                </m:r>
              </m:sup>
            </m:sSup>
            <m:r>
              <w:rPr>
                <w:rFonts w:ascii="Cambria Math" w:hAnsi="Cambria Math"/>
                <w:sz w:val="28"/>
                <w:szCs w:val="28"/>
              </w:rPr>
              <m:t>dt</m:t>
            </m:r>
          </m:e>
        </m:nary>
      </m:oMath>
      <w:r w:rsidRPr="00526AA2">
        <w:rPr>
          <w:rFonts w:ascii="Times New Roman" w:eastAsiaTheme="minorEastAsia" w:hAnsi="Times New Roman"/>
          <w:sz w:val="28"/>
          <w:szCs w:val="28"/>
        </w:rPr>
        <w:t xml:space="preserve"> </w:t>
      </w:r>
      <w:r w:rsidRPr="00526AA2">
        <w:rPr>
          <w:rFonts w:ascii="Times New Roman" w:eastAsiaTheme="minorEastAsia" w:hAnsi="Times New Roman"/>
          <w:sz w:val="28"/>
          <w:szCs w:val="28"/>
        </w:rPr>
        <w:tab/>
        <w:t xml:space="preserve">                 </w:t>
      </w:r>
      <w:r w:rsidRPr="00526AA2">
        <w:rPr>
          <w:rFonts w:ascii="Times New Roman" w:eastAsiaTheme="minorEastAsia" w:hAnsi="Times New Roman"/>
          <w:sz w:val="24"/>
          <w:szCs w:val="24"/>
        </w:rPr>
        <w:t>(2)</w:t>
      </w:r>
    </w:p>
    <w:p w:rsidR="006D0856" w:rsidRPr="00526AA2" w:rsidRDefault="006D0856" w:rsidP="00753FA3">
      <w:pPr>
        <w:tabs>
          <w:tab w:val="left" w:pos="6900"/>
        </w:tabs>
        <w:spacing w:line="480" w:lineRule="auto"/>
        <w:ind w:firstLine="709"/>
        <w:jc w:val="both"/>
        <w:rPr>
          <w:rFonts w:ascii="Times New Roman" w:eastAsiaTheme="minorEastAsia" w:hAnsi="Times New Roman"/>
          <w:sz w:val="24"/>
          <w:szCs w:val="24"/>
        </w:rPr>
      </w:pPr>
      <w:r w:rsidRPr="00526AA2">
        <w:rPr>
          <w:rFonts w:ascii="Times New Roman" w:eastAsiaTheme="minorEastAsia" w:hAnsi="Times New Roman"/>
          <w:sz w:val="24"/>
          <w:szCs w:val="24"/>
        </w:rPr>
        <w:t xml:space="preserve">Sendo </w:t>
      </w:r>
      <w:r w:rsidRPr="00526AA2">
        <w:rPr>
          <w:rFonts w:ascii="Times New Roman" w:eastAsiaTheme="minorEastAsia" w:hAnsi="Times New Roman"/>
          <w:i/>
          <w:sz w:val="24"/>
          <w:szCs w:val="24"/>
        </w:rPr>
        <w:t>e</w:t>
      </w:r>
      <w:r w:rsidRPr="00526AA2">
        <w:rPr>
          <w:rFonts w:ascii="Times New Roman" w:eastAsiaTheme="minorEastAsia" w:hAnsi="Times New Roman"/>
          <w:sz w:val="24"/>
          <w:szCs w:val="24"/>
        </w:rPr>
        <w:t xml:space="preserve"> a base dos logaritmos naturais. A função de distribuição associada à equação (1) é:</w:t>
      </w:r>
    </w:p>
    <w:p w:rsidR="006D0856" w:rsidRPr="00526AA2" w:rsidRDefault="006D0856" w:rsidP="00753FA3">
      <w:pPr>
        <w:tabs>
          <w:tab w:val="left" w:pos="6900"/>
        </w:tabs>
        <w:spacing w:line="480" w:lineRule="auto"/>
        <w:jc w:val="both"/>
        <w:rPr>
          <w:rFonts w:ascii="Times New Roman" w:eastAsiaTheme="minorEastAsia" w:hAnsi="Times New Roman"/>
          <w:sz w:val="24"/>
          <w:szCs w:val="24"/>
        </w:rPr>
      </w:pPr>
      <m:oMath>
        <m:r>
          <w:rPr>
            <w:rFonts w:ascii="Cambria Math" w:eastAsia="Times New Roman" w:hAnsi="Cambria Math"/>
            <w:sz w:val="28"/>
            <w:szCs w:val="28"/>
          </w:rPr>
          <m:t>G</m:t>
        </m:r>
        <m:d>
          <m:dPr>
            <m:ctrlPr>
              <w:rPr>
                <w:rFonts w:ascii="Cambria Math" w:eastAsia="Times New Roman" w:hAnsi="Times New Roman"/>
                <w:i/>
                <w:sz w:val="28"/>
                <w:szCs w:val="28"/>
              </w:rPr>
            </m:ctrlPr>
          </m:dPr>
          <m:e>
            <m:r>
              <w:rPr>
                <w:rFonts w:ascii="Cambria Math" w:eastAsia="Times New Roman" w:hAnsi="Cambria Math"/>
                <w:sz w:val="28"/>
                <w:szCs w:val="28"/>
              </w:rPr>
              <m:t>x</m:t>
            </m:r>
            <m:r>
              <w:rPr>
                <w:rFonts w:ascii="Cambria Math" w:eastAsia="Times New Roman" w:hAnsi="Times New Roman"/>
                <w:sz w:val="28"/>
                <w:szCs w:val="28"/>
              </w:rPr>
              <m:t>,</m:t>
            </m:r>
            <m:r>
              <w:rPr>
                <w:rFonts w:ascii="Cambria Math" w:eastAsia="Times New Roman" w:hAnsi="Cambria Math"/>
                <w:sz w:val="28"/>
                <w:szCs w:val="28"/>
              </w:rPr>
              <m:t>y</m:t>
            </m:r>
            <m:r>
              <w:rPr>
                <w:rFonts w:ascii="Cambria Math" w:eastAsia="Times New Roman" w:hAnsi="Times New Roman"/>
                <w:sz w:val="28"/>
                <w:szCs w:val="28"/>
              </w:rPr>
              <m:t>,</m:t>
            </m:r>
            <m:r>
              <w:rPr>
                <w:rFonts w:ascii="Cambria Math" w:eastAsia="Times New Roman" w:hAnsi="Cambria Math"/>
                <w:sz w:val="28"/>
                <w:szCs w:val="28"/>
              </w:rPr>
              <m:t>z</m:t>
            </m:r>
          </m:e>
        </m:d>
        <m:r>
          <w:rPr>
            <w:rFonts w:ascii="Cambria Math" w:eastAsia="Times New Roman" w:hAnsi="Times New Roman"/>
            <w:sz w:val="28"/>
            <w:szCs w:val="28"/>
          </w:rPr>
          <m:t>=</m:t>
        </m:r>
        <m:d>
          <m:dPr>
            <m:begChr m:val="["/>
            <m:endChr m:val="]"/>
            <m:ctrlPr>
              <w:rPr>
                <w:rFonts w:ascii="Cambria Math" w:eastAsia="Times New Roman" w:hAnsi="Times New Roman"/>
                <w:i/>
                <w:sz w:val="28"/>
                <w:szCs w:val="28"/>
              </w:rPr>
            </m:ctrlPr>
          </m:dPr>
          <m:e>
            <m:f>
              <m:fPr>
                <m:ctrlPr>
                  <w:rPr>
                    <w:rFonts w:ascii="Cambria Math" w:eastAsia="Times New Roman" w:hAnsi="Times New Roman"/>
                    <w:i/>
                    <w:sz w:val="28"/>
                    <w:szCs w:val="28"/>
                  </w:rPr>
                </m:ctrlPr>
              </m:fPr>
              <m:num>
                <m:r>
                  <w:rPr>
                    <w:rFonts w:ascii="Cambria Math" w:eastAsia="Times New Roman" w:hAnsi="Times New Roman"/>
                    <w:sz w:val="28"/>
                    <w:szCs w:val="28"/>
                  </w:rPr>
                  <m:t>1</m:t>
                </m:r>
              </m:num>
              <m:den>
                <m:r>
                  <w:rPr>
                    <w:rFonts w:ascii="Cambria Math" w:hAnsi="Cambria Math"/>
                    <w:sz w:val="28"/>
                    <w:szCs w:val="28"/>
                  </w:rPr>
                  <m:t>Γ</m:t>
                </m:r>
                <m:r>
                  <w:rPr>
                    <w:rFonts w:ascii="Cambria Math" w:hAnsi="Times New Roman"/>
                    <w:sz w:val="28"/>
                    <w:szCs w:val="28"/>
                  </w:rPr>
                  <m:t>(</m:t>
                </m:r>
                <m:r>
                  <w:rPr>
                    <w:rFonts w:ascii="Cambria Math" w:hAnsi="Cambria Math"/>
                    <w:sz w:val="28"/>
                    <w:szCs w:val="28"/>
                  </w:rPr>
                  <m:t>y</m:t>
                </m:r>
                <m:r>
                  <w:rPr>
                    <w:rFonts w:ascii="Cambria Math" w:hAnsi="Times New Roman"/>
                    <w:sz w:val="28"/>
                    <w:szCs w:val="28"/>
                  </w:rPr>
                  <m:t>)</m:t>
                </m:r>
              </m:den>
            </m:f>
          </m:e>
        </m:d>
        <m:r>
          <w:rPr>
            <w:rFonts w:ascii="Cambria Math" w:eastAsia="Times New Roman" w:hAnsi="Times New Roman"/>
            <w:sz w:val="28"/>
            <w:szCs w:val="28"/>
          </w:rPr>
          <m:t xml:space="preserve">. </m:t>
        </m:r>
        <m:nary>
          <m:naryPr>
            <m:limLoc m:val="subSup"/>
            <m:ctrlPr>
              <w:rPr>
                <w:rFonts w:ascii="Cambria Math" w:eastAsia="Times New Roman" w:hAnsi="Times New Roman"/>
                <w:i/>
                <w:sz w:val="28"/>
                <w:szCs w:val="28"/>
              </w:rPr>
            </m:ctrlPr>
          </m:naryPr>
          <m:sub>
            <m:r>
              <w:rPr>
                <w:rFonts w:ascii="Cambria Math" w:eastAsia="Times New Roman" w:hAnsi="Cambria Math"/>
                <w:sz w:val="28"/>
                <w:szCs w:val="28"/>
              </w:rPr>
              <m:t>o</m:t>
            </m:r>
          </m:sub>
          <m:sup>
            <m:r>
              <w:rPr>
                <w:rFonts w:ascii="Cambria Math" w:eastAsia="Times New Roman" w:hAnsi="Cambria Math"/>
                <w:sz w:val="28"/>
                <w:szCs w:val="28"/>
              </w:rPr>
              <m:t>v</m:t>
            </m:r>
          </m:sup>
          <m:e>
            <m:sSup>
              <m:sSupPr>
                <m:ctrlPr>
                  <w:rPr>
                    <w:rFonts w:ascii="Cambria Math" w:eastAsia="Times New Roman" w:hAnsi="Times New Roman"/>
                    <w:i/>
                    <w:sz w:val="28"/>
                    <w:szCs w:val="28"/>
                  </w:rPr>
                </m:ctrlPr>
              </m:sSupPr>
              <m:e>
                <m:r>
                  <w:rPr>
                    <w:rFonts w:ascii="Cambria Math" w:eastAsia="Times New Roman" w:hAnsi="Cambria Math"/>
                    <w:sz w:val="28"/>
                    <w:szCs w:val="28"/>
                  </w:rPr>
                  <m:t>v</m:t>
                </m:r>
              </m:e>
              <m:sup>
                <m:r>
                  <w:rPr>
                    <w:rFonts w:ascii="Cambria Math" w:eastAsia="Times New Roman" w:hAnsi="Cambria Math"/>
                    <w:sz w:val="28"/>
                    <w:szCs w:val="28"/>
                  </w:rPr>
                  <m:t>y</m:t>
                </m:r>
                <m:r>
                  <w:rPr>
                    <w:rFonts w:ascii="Times New Roman" w:eastAsia="Times New Roman" w:hAnsi="Times New Roman"/>
                    <w:sz w:val="28"/>
                    <w:szCs w:val="28"/>
                  </w:rPr>
                  <m:t>-</m:t>
                </m:r>
                <m:r>
                  <w:rPr>
                    <w:rFonts w:ascii="Cambria Math" w:eastAsia="Times New Roman" w:hAnsi="Times New Roman"/>
                    <w:sz w:val="28"/>
                    <w:szCs w:val="28"/>
                  </w:rPr>
                  <m:t>1</m:t>
                </m:r>
              </m:sup>
            </m:sSup>
            <m:sSup>
              <m:sSupPr>
                <m:ctrlPr>
                  <w:rPr>
                    <w:rFonts w:ascii="Cambria Math" w:eastAsia="Times New Roman" w:hAnsi="Times New Roman"/>
                    <w:i/>
                    <w:sz w:val="28"/>
                    <w:szCs w:val="28"/>
                  </w:rPr>
                </m:ctrlPr>
              </m:sSupPr>
              <m:e>
                <m:r>
                  <w:rPr>
                    <w:rFonts w:ascii="Cambria Math" w:eastAsia="Times New Roman" w:hAnsi="Cambria Math"/>
                    <w:sz w:val="28"/>
                    <w:szCs w:val="28"/>
                  </w:rPr>
                  <m:t>e</m:t>
                </m:r>
              </m:e>
              <m:sup>
                <m:r>
                  <w:rPr>
                    <w:rFonts w:ascii="Times New Roman" w:eastAsia="Times New Roman" w:hAnsi="Times New Roman"/>
                    <w:sz w:val="28"/>
                    <w:szCs w:val="28"/>
                  </w:rPr>
                  <m:t>-</m:t>
                </m:r>
                <m:r>
                  <w:rPr>
                    <w:rFonts w:ascii="Cambria Math" w:eastAsia="Times New Roman" w:hAnsi="Cambria Math"/>
                    <w:sz w:val="28"/>
                    <w:szCs w:val="28"/>
                  </w:rPr>
                  <m:t>v</m:t>
                </m:r>
              </m:sup>
            </m:sSup>
            <m:r>
              <w:rPr>
                <w:rFonts w:ascii="Cambria Math" w:eastAsia="Times New Roman" w:hAnsi="Cambria Math"/>
                <w:sz w:val="28"/>
                <w:szCs w:val="28"/>
              </w:rPr>
              <m:t>dv</m:t>
            </m:r>
          </m:e>
        </m:nary>
      </m:oMath>
      <w:r>
        <w:rPr>
          <w:rFonts w:ascii="Times New Roman" w:eastAsiaTheme="minorEastAsia" w:hAnsi="Times New Roman"/>
          <w:sz w:val="24"/>
          <w:szCs w:val="24"/>
        </w:rPr>
        <w:t xml:space="preserve">                </w:t>
      </w:r>
      <w:r w:rsidRPr="00526AA2">
        <w:rPr>
          <w:rFonts w:ascii="Times New Roman" w:eastAsiaTheme="minorEastAsia" w:hAnsi="Times New Roman"/>
          <w:sz w:val="24"/>
          <w:szCs w:val="24"/>
        </w:rPr>
        <w:t xml:space="preserve">                         </w:t>
      </w:r>
      <w:r>
        <w:rPr>
          <w:rFonts w:ascii="Times New Roman" w:eastAsiaTheme="minorEastAsia" w:hAnsi="Times New Roman"/>
          <w:sz w:val="24"/>
          <w:szCs w:val="24"/>
        </w:rPr>
        <w:t xml:space="preserve">                             </w:t>
      </w:r>
      <w:r w:rsidRPr="00526AA2">
        <w:rPr>
          <w:rFonts w:ascii="Times New Roman" w:eastAsiaTheme="minorEastAsia" w:hAnsi="Times New Roman"/>
          <w:sz w:val="24"/>
          <w:szCs w:val="24"/>
        </w:rPr>
        <w:t>(3)</w:t>
      </w:r>
    </w:p>
    <w:p w:rsidR="006D0856" w:rsidRPr="00526AA2" w:rsidRDefault="006D0856" w:rsidP="00753FA3">
      <w:pPr>
        <w:spacing w:line="480" w:lineRule="auto"/>
        <w:ind w:firstLine="709"/>
        <w:jc w:val="both"/>
        <w:rPr>
          <w:rFonts w:ascii="Times New Roman" w:hAnsi="Times New Roman"/>
          <w:sz w:val="24"/>
          <w:szCs w:val="24"/>
        </w:rPr>
      </w:pPr>
      <w:r w:rsidRPr="00526AA2">
        <w:rPr>
          <w:rFonts w:ascii="Times New Roman" w:hAnsi="Times New Roman"/>
          <w:sz w:val="24"/>
          <w:szCs w:val="24"/>
        </w:rPr>
        <w:lastRenderedPageBreak/>
        <w:t xml:space="preserve">Onde </w:t>
      </w:r>
      <w:r w:rsidRPr="00526AA2">
        <w:rPr>
          <w:rFonts w:ascii="Times New Roman" w:hAnsi="Times New Roman"/>
          <w:i/>
          <w:sz w:val="24"/>
          <w:szCs w:val="24"/>
        </w:rPr>
        <w:t xml:space="preserve">v </w:t>
      </w:r>
      <w:r w:rsidRPr="00526AA2">
        <w:rPr>
          <w:rFonts w:ascii="Times New Roman" w:hAnsi="Times New Roman"/>
          <w:sz w:val="24"/>
          <w:szCs w:val="24"/>
        </w:rPr>
        <w:t xml:space="preserve">= γ x/µ=x/β, com G(x, γ, </w:t>
      </w:r>
      <w:r w:rsidRPr="00526AA2">
        <w:rPr>
          <w:rFonts w:ascii="Times New Roman" w:hAnsi="Times New Roman"/>
          <w:i/>
          <w:sz w:val="24"/>
          <w:szCs w:val="24"/>
        </w:rPr>
        <w:t>v</w:t>
      </w:r>
      <w:r w:rsidRPr="00526AA2">
        <w:rPr>
          <w:rFonts w:ascii="Times New Roman" w:hAnsi="Times New Roman"/>
          <w:sz w:val="24"/>
          <w:szCs w:val="24"/>
        </w:rPr>
        <w:t xml:space="preserve">) = 0 quando x≤ </w:t>
      </w:r>
      <w:proofErr w:type="gramStart"/>
      <w:r w:rsidRPr="00526AA2">
        <w:rPr>
          <w:rFonts w:ascii="Times New Roman" w:hAnsi="Times New Roman"/>
          <w:sz w:val="24"/>
          <w:szCs w:val="24"/>
        </w:rPr>
        <w:t>0</w:t>
      </w:r>
      <w:proofErr w:type="gramEnd"/>
      <w:r w:rsidRPr="00526AA2">
        <w:rPr>
          <w:rFonts w:ascii="Times New Roman" w:hAnsi="Times New Roman"/>
          <w:sz w:val="24"/>
          <w:szCs w:val="24"/>
        </w:rPr>
        <w:t xml:space="preserve"> e β= µ/ γ.</w:t>
      </w:r>
    </w:p>
    <w:p w:rsidR="006D0856" w:rsidRPr="00526AA2" w:rsidRDefault="006D0856" w:rsidP="00753FA3">
      <w:pPr>
        <w:autoSpaceDE w:val="0"/>
        <w:autoSpaceDN w:val="0"/>
        <w:adjustRightInd w:val="0"/>
        <w:spacing w:after="0" w:line="480" w:lineRule="auto"/>
        <w:jc w:val="both"/>
        <w:rPr>
          <w:rFonts w:ascii="Times New Roman" w:hAnsi="Times New Roman"/>
          <w:sz w:val="24"/>
          <w:szCs w:val="24"/>
        </w:rPr>
      </w:pPr>
      <w:r w:rsidRPr="00526AA2">
        <w:rPr>
          <w:rFonts w:ascii="Times New Roman" w:hAnsi="Times New Roman"/>
          <w:sz w:val="24"/>
          <w:szCs w:val="24"/>
        </w:rPr>
        <w:tab/>
        <w:t>Neste trabalho aplicou-se a distribuição gama incompleta como feito por M</w:t>
      </w:r>
      <w:r w:rsidR="003017D0" w:rsidRPr="00526AA2">
        <w:rPr>
          <w:rFonts w:ascii="Times New Roman" w:hAnsi="Times New Roman"/>
          <w:sz w:val="24"/>
          <w:szCs w:val="24"/>
        </w:rPr>
        <w:t>OURA</w:t>
      </w:r>
      <w:r w:rsidRPr="00526AA2">
        <w:rPr>
          <w:rFonts w:ascii="Times New Roman" w:hAnsi="Times New Roman"/>
          <w:sz w:val="24"/>
          <w:szCs w:val="24"/>
        </w:rPr>
        <w:t xml:space="preserve"> </w:t>
      </w:r>
      <w:proofErr w:type="spellStart"/>
      <w:proofErr w:type="gramStart"/>
      <w:r w:rsidRPr="00526AA2">
        <w:rPr>
          <w:rFonts w:ascii="Times New Roman" w:hAnsi="Times New Roman"/>
          <w:sz w:val="24"/>
          <w:szCs w:val="24"/>
        </w:rPr>
        <w:t>et</w:t>
      </w:r>
      <w:proofErr w:type="spellEnd"/>
      <w:proofErr w:type="gramEnd"/>
      <w:r w:rsidRPr="00526AA2">
        <w:rPr>
          <w:rFonts w:ascii="Times New Roman" w:hAnsi="Times New Roman"/>
          <w:sz w:val="24"/>
          <w:szCs w:val="24"/>
        </w:rPr>
        <w:t xml:space="preserve"> al., (2008) aplicando-se aos totais pluviométricos anuais. Os parâmetros β e γ foram obtidos com o método da verossimilhança. Os valores de precipitação foram divididos em: períodos “secos”, aqueles em que o total de precipitação anual foi igual ou menor que a probabilidade de 25%; “normais” com probabilidade maior que 25% e inferior ou igual a 75%; e “chuvosos” com probabilidade superior a 75%.</w:t>
      </w:r>
    </w:p>
    <w:p w:rsidR="006D0856" w:rsidRPr="00526AA2" w:rsidRDefault="006D0856" w:rsidP="00753FA3">
      <w:pPr>
        <w:autoSpaceDE w:val="0"/>
        <w:autoSpaceDN w:val="0"/>
        <w:adjustRightInd w:val="0"/>
        <w:spacing w:after="0" w:line="480" w:lineRule="auto"/>
        <w:jc w:val="both"/>
        <w:rPr>
          <w:rFonts w:ascii="Times New Roman" w:hAnsi="Times New Roman"/>
          <w:sz w:val="24"/>
          <w:szCs w:val="24"/>
        </w:rPr>
      </w:pPr>
      <w:r w:rsidRPr="00526AA2">
        <w:rPr>
          <w:rFonts w:ascii="Times New Roman" w:hAnsi="Times New Roman"/>
          <w:sz w:val="24"/>
          <w:szCs w:val="24"/>
        </w:rPr>
        <w:tab/>
        <w:t>Devido à falta de variáveis climáticas</w:t>
      </w:r>
      <w:r>
        <w:rPr>
          <w:rFonts w:ascii="Times New Roman" w:hAnsi="Times New Roman"/>
          <w:sz w:val="24"/>
          <w:szCs w:val="24"/>
        </w:rPr>
        <w:t>,</w:t>
      </w:r>
      <w:r w:rsidRPr="00526AA2">
        <w:rPr>
          <w:rFonts w:ascii="Times New Roman" w:hAnsi="Times New Roman"/>
          <w:sz w:val="24"/>
          <w:szCs w:val="24"/>
        </w:rPr>
        <w:t xml:space="preserve"> além da temperatura e precipitação nos postos climatológicos analisados</w:t>
      </w:r>
      <w:r>
        <w:rPr>
          <w:rFonts w:ascii="Times New Roman" w:hAnsi="Times New Roman"/>
          <w:sz w:val="24"/>
          <w:szCs w:val="24"/>
        </w:rPr>
        <w:t>,</w:t>
      </w:r>
      <w:r w:rsidRPr="00526AA2">
        <w:rPr>
          <w:rFonts w:ascii="Times New Roman" w:hAnsi="Times New Roman"/>
          <w:sz w:val="24"/>
          <w:szCs w:val="24"/>
        </w:rPr>
        <w:t xml:space="preserve"> a evapotranspiração potencial foi calculada apartir do método proposto por T</w:t>
      </w:r>
      <w:r w:rsidR="003017D0" w:rsidRPr="00526AA2">
        <w:rPr>
          <w:rFonts w:ascii="Times New Roman" w:hAnsi="Times New Roman"/>
          <w:sz w:val="24"/>
          <w:szCs w:val="24"/>
        </w:rPr>
        <w:t>HORNTHWAITE</w:t>
      </w:r>
      <w:r w:rsidRPr="00526AA2">
        <w:rPr>
          <w:rFonts w:ascii="Times New Roman" w:hAnsi="Times New Roman"/>
          <w:sz w:val="24"/>
          <w:szCs w:val="24"/>
        </w:rPr>
        <w:t xml:space="preserve"> (1948)</w:t>
      </w:r>
      <w:r>
        <w:rPr>
          <w:rFonts w:ascii="Times New Roman" w:hAnsi="Times New Roman"/>
          <w:sz w:val="24"/>
          <w:szCs w:val="24"/>
        </w:rPr>
        <w:t xml:space="preserve"> e</w:t>
      </w:r>
      <w:r w:rsidRPr="00526AA2">
        <w:rPr>
          <w:rFonts w:ascii="Times New Roman" w:hAnsi="Times New Roman"/>
          <w:sz w:val="24"/>
          <w:szCs w:val="24"/>
        </w:rPr>
        <w:tab/>
      </w:r>
      <w:r>
        <w:rPr>
          <w:rFonts w:ascii="Times New Roman" w:hAnsi="Times New Roman"/>
          <w:sz w:val="24"/>
          <w:szCs w:val="24"/>
        </w:rPr>
        <w:t xml:space="preserve"> m</w:t>
      </w:r>
      <w:r w:rsidRPr="00526AA2">
        <w:rPr>
          <w:rFonts w:ascii="Times New Roman" w:hAnsi="Times New Roman"/>
          <w:sz w:val="24"/>
          <w:szCs w:val="24"/>
        </w:rPr>
        <w:t>ediante os dados calculou-se o balanço hídrico climático mensal, pelo método proposto por T</w:t>
      </w:r>
      <w:r w:rsidR="003017D0" w:rsidRPr="00526AA2">
        <w:rPr>
          <w:rFonts w:ascii="Times New Roman" w:hAnsi="Times New Roman"/>
          <w:sz w:val="24"/>
          <w:szCs w:val="24"/>
        </w:rPr>
        <w:t>HORNTHWAITE</w:t>
      </w:r>
      <w:r w:rsidRPr="00526AA2">
        <w:rPr>
          <w:rFonts w:ascii="Times New Roman" w:hAnsi="Times New Roman"/>
          <w:sz w:val="24"/>
          <w:szCs w:val="24"/>
        </w:rPr>
        <w:t xml:space="preserve"> </w:t>
      </w:r>
      <w:r w:rsidR="003017D0">
        <w:rPr>
          <w:rFonts w:ascii="Times New Roman" w:hAnsi="Times New Roman"/>
          <w:sz w:val="24"/>
          <w:szCs w:val="24"/>
        </w:rPr>
        <w:t>e</w:t>
      </w:r>
      <w:r w:rsidRPr="00526AA2">
        <w:rPr>
          <w:rFonts w:ascii="Times New Roman" w:hAnsi="Times New Roman"/>
          <w:sz w:val="24"/>
          <w:szCs w:val="24"/>
        </w:rPr>
        <w:t xml:space="preserve"> M</w:t>
      </w:r>
      <w:r w:rsidR="003017D0" w:rsidRPr="00526AA2">
        <w:rPr>
          <w:rFonts w:ascii="Times New Roman" w:hAnsi="Times New Roman"/>
          <w:sz w:val="24"/>
          <w:szCs w:val="24"/>
        </w:rPr>
        <w:t>ATHER</w:t>
      </w:r>
      <w:r w:rsidRPr="00526AA2">
        <w:rPr>
          <w:rFonts w:ascii="Times New Roman" w:hAnsi="Times New Roman"/>
          <w:sz w:val="24"/>
          <w:szCs w:val="24"/>
        </w:rPr>
        <w:t xml:space="preserve"> (1955), com o auxílio do programa “SEVAP”, assumindo-se uma Capacidade Máxima de Armazenamento de água no solo (CAD) igual a 100 mm. Os parâmetros do balanço hídrico calculados f</w:t>
      </w:r>
      <w:r>
        <w:rPr>
          <w:rFonts w:ascii="Times New Roman" w:hAnsi="Times New Roman"/>
          <w:sz w:val="24"/>
          <w:szCs w:val="24"/>
        </w:rPr>
        <w:t>oram evapotranspiração real (</w:t>
      </w:r>
      <w:proofErr w:type="spellStart"/>
      <w:proofErr w:type="gramStart"/>
      <w:r>
        <w:rPr>
          <w:rFonts w:ascii="Times New Roman" w:hAnsi="Times New Roman"/>
          <w:sz w:val="24"/>
          <w:szCs w:val="24"/>
        </w:rPr>
        <w:t>ETr</w:t>
      </w:r>
      <w:proofErr w:type="spellEnd"/>
      <w:proofErr w:type="gramEnd"/>
      <w:r w:rsidRPr="00526AA2">
        <w:rPr>
          <w:rFonts w:ascii="Times New Roman" w:hAnsi="Times New Roman"/>
          <w:sz w:val="24"/>
          <w:szCs w:val="24"/>
        </w:rPr>
        <w:t xml:space="preserve">), </w:t>
      </w:r>
      <w:r>
        <w:rPr>
          <w:rFonts w:ascii="Times New Roman" w:hAnsi="Times New Roman"/>
          <w:sz w:val="24"/>
          <w:szCs w:val="24"/>
        </w:rPr>
        <w:t>evapotranspiração potencial (</w:t>
      </w:r>
      <w:proofErr w:type="spellStart"/>
      <w:r>
        <w:rPr>
          <w:rFonts w:ascii="Times New Roman" w:hAnsi="Times New Roman"/>
          <w:sz w:val="24"/>
          <w:szCs w:val="24"/>
        </w:rPr>
        <w:t>ETp</w:t>
      </w:r>
      <w:proofErr w:type="spellEnd"/>
      <w:r w:rsidRPr="00526AA2">
        <w:rPr>
          <w:rFonts w:ascii="Times New Roman" w:hAnsi="Times New Roman"/>
          <w:sz w:val="24"/>
          <w:szCs w:val="24"/>
        </w:rPr>
        <w:t>), armazenamento de água no solo (ARM), negativo acumulado (NEG ACUM) alteração de água no solo (ALT), deficiência hídrica no solo (DEF) e excedente hídrico (EXC).</w:t>
      </w:r>
    </w:p>
    <w:p w:rsidR="006D0856" w:rsidRPr="00526AA2" w:rsidRDefault="006D0856" w:rsidP="00753FA3">
      <w:pPr>
        <w:autoSpaceDE w:val="0"/>
        <w:autoSpaceDN w:val="0"/>
        <w:adjustRightInd w:val="0"/>
        <w:spacing w:after="0" w:line="480" w:lineRule="auto"/>
        <w:rPr>
          <w:rFonts w:ascii="Times New Roman" w:hAnsi="Times New Roman"/>
          <w:noProof/>
          <w:sz w:val="24"/>
          <w:szCs w:val="24"/>
          <w:lang w:eastAsia="pt-BR"/>
        </w:rPr>
      </w:pPr>
    </w:p>
    <w:p w:rsidR="006D0856" w:rsidRPr="00526AA2" w:rsidRDefault="006D0856" w:rsidP="003017D0">
      <w:pPr>
        <w:spacing w:line="480" w:lineRule="auto"/>
        <w:ind w:right="-852"/>
        <w:jc w:val="both"/>
        <w:rPr>
          <w:rFonts w:ascii="Times New Roman" w:hAnsi="Times New Roman"/>
          <w:b/>
          <w:noProof/>
          <w:sz w:val="24"/>
          <w:szCs w:val="24"/>
          <w:lang w:eastAsia="pt-BR"/>
        </w:rPr>
      </w:pPr>
      <w:r w:rsidRPr="00526AA2">
        <w:rPr>
          <w:rFonts w:ascii="Times New Roman" w:hAnsi="Times New Roman"/>
          <w:b/>
          <w:noProof/>
          <w:sz w:val="24"/>
          <w:szCs w:val="24"/>
          <w:lang w:eastAsia="pt-BR"/>
        </w:rPr>
        <w:t>R</w:t>
      </w:r>
      <w:r w:rsidR="003017D0" w:rsidRPr="00526AA2">
        <w:rPr>
          <w:rFonts w:ascii="Times New Roman" w:hAnsi="Times New Roman"/>
          <w:b/>
          <w:noProof/>
          <w:sz w:val="24"/>
          <w:szCs w:val="24"/>
          <w:lang w:eastAsia="pt-BR"/>
        </w:rPr>
        <w:t>esultados e discussões</w:t>
      </w:r>
    </w:p>
    <w:p w:rsidR="006D0856" w:rsidRPr="00526AA2" w:rsidRDefault="006D0856" w:rsidP="00753FA3">
      <w:pPr>
        <w:spacing w:line="480" w:lineRule="auto"/>
        <w:ind w:firstLine="600"/>
        <w:jc w:val="both"/>
        <w:rPr>
          <w:rFonts w:ascii="Times New Roman" w:hAnsi="Times New Roman"/>
          <w:sz w:val="24"/>
          <w:szCs w:val="24"/>
        </w:rPr>
      </w:pPr>
      <w:r w:rsidRPr="00526AA2">
        <w:rPr>
          <w:rFonts w:ascii="Times New Roman" w:hAnsi="Times New Roman"/>
          <w:sz w:val="24"/>
          <w:szCs w:val="24"/>
        </w:rPr>
        <w:t>De posse de todos os dados do balanço hídrico climatológico das 4</w:t>
      </w:r>
      <w:r w:rsidR="00E447A2">
        <w:rPr>
          <w:rFonts w:ascii="Times New Roman" w:hAnsi="Times New Roman"/>
          <w:sz w:val="24"/>
          <w:szCs w:val="24"/>
        </w:rPr>
        <w:t>5</w:t>
      </w:r>
      <w:r w:rsidRPr="00526AA2">
        <w:rPr>
          <w:rFonts w:ascii="Times New Roman" w:hAnsi="Times New Roman"/>
          <w:sz w:val="24"/>
          <w:szCs w:val="24"/>
        </w:rPr>
        <w:t xml:space="preserve"> estações climatológicas distribuídas no Estado foi realizada uma análise dessas variáveis para cada Mesorregião.</w:t>
      </w:r>
    </w:p>
    <w:p w:rsidR="006D0856" w:rsidRPr="00526AA2" w:rsidRDefault="006D0856" w:rsidP="00753FA3">
      <w:pPr>
        <w:spacing w:line="480" w:lineRule="auto"/>
        <w:ind w:right="-1"/>
        <w:rPr>
          <w:rFonts w:ascii="Times New Roman" w:hAnsi="Times New Roman"/>
          <w:b/>
          <w:noProof/>
          <w:sz w:val="24"/>
          <w:szCs w:val="24"/>
          <w:lang w:eastAsia="pt-BR"/>
        </w:rPr>
      </w:pPr>
      <w:r w:rsidRPr="00526AA2">
        <w:rPr>
          <w:rFonts w:ascii="Times New Roman" w:hAnsi="Times New Roman"/>
          <w:b/>
          <w:noProof/>
          <w:sz w:val="24"/>
          <w:szCs w:val="24"/>
          <w:lang w:eastAsia="pt-BR"/>
        </w:rPr>
        <w:t>Anos chuvosos</w:t>
      </w:r>
    </w:p>
    <w:p w:rsidR="006D0856" w:rsidRDefault="00026642" w:rsidP="00753FA3">
      <w:pPr>
        <w:spacing w:line="480" w:lineRule="auto"/>
        <w:ind w:right="-1"/>
        <w:jc w:val="both"/>
        <w:rPr>
          <w:rFonts w:ascii="Times New Roman" w:hAnsi="Times New Roman"/>
          <w:noProof/>
          <w:sz w:val="24"/>
          <w:szCs w:val="24"/>
          <w:lang w:eastAsia="pt-BR"/>
        </w:rPr>
      </w:pPr>
      <w:r>
        <w:rPr>
          <w:rFonts w:ascii="Times New Roman" w:hAnsi="Times New Roman"/>
          <w:noProof/>
          <w:sz w:val="24"/>
          <w:szCs w:val="24"/>
          <w:lang w:eastAsia="pt-BR"/>
        </w:rPr>
        <w:lastRenderedPageBreak/>
        <w:pict>
          <v:shape id="_x0000_s1029" type="#_x0000_t202" style="position:absolute;left:0;text-align:left;margin-left:39.7pt;margin-top:285.8pt;width:29.35pt;height:22.85pt;z-index:251664384;mso-width-relative:margin;mso-height-relative:margin" stroked="f" strokecolor="white">
            <v:fill opacity="0"/>
            <v:textbox style="mso-next-textbox:#_x0000_s1029">
              <w:txbxContent>
                <w:p w:rsidR="006D0856" w:rsidRPr="00B64FBC" w:rsidRDefault="006D0856" w:rsidP="006D0856">
                  <w:pPr>
                    <w:rPr>
                      <w:rFonts w:ascii="Times New Roman" w:hAnsi="Times New Roman"/>
                      <w:sz w:val="24"/>
                      <w:szCs w:val="24"/>
                    </w:rPr>
                  </w:pPr>
                  <w:r w:rsidRPr="00B64FBC">
                    <w:rPr>
                      <w:rFonts w:ascii="Times New Roman" w:hAnsi="Times New Roman"/>
                      <w:sz w:val="24"/>
                      <w:szCs w:val="24"/>
                    </w:rPr>
                    <w:t>A</w:t>
                  </w:r>
                  <w:r>
                    <w:rPr>
                      <w:rFonts w:ascii="Times New Roman" w:hAnsi="Times New Roman"/>
                      <w:sz w:val="24"/>
                      <w:szCs w:val="24"/>
                    </w:rPr>
                    <w:t>.</w:t>
                  </w:r>
                </w:p>
              </w:txbxContent>
            </v:textbox>
          </v:shape>
        </w:pict>
      </w:r>
      <w:r>
        <w:rPr>
          <w:rFonts w:ascii="Times New Roman" w:hAnsi="Times New Roman"/>
          <w:noProof/>
          <w:sz w:val="24"/>
          <w:szCs w:val="24"/>
          <w:lang w:eastAsia="pt-BR"/>
        </w:rPr>
        <w:pict>
          <v:shape id="_x0000_s1028" type="#_x0000_t202" style="position:absolute;left:0;text-align:left;margin-left:227.9pt;margin-top:285.8pt;width:29.35pt;height:22.85pt;z-index:251663360;mso-width-relative:margin;mso-height-relative:margin" stroked="f" strokecolor="white">
            <v:fill opacity="0"/>
            <v:textbox style="mso-next-textbox:#_x0000_s1028">
              <w:txbxContent>
                <w:p w:rsidR="006D0856" w:rsidRPr="00B64FBC" w:rsidRDefault="006D0856" w:rsidP="006D0856">
                  <w:pPr>
                    <w:rPr>
                      <w:rFonts w:ascii="Times New Roman" w:hAnsi="Times New Roman"/>
                      <w:sz w:val="24"/>
                      <w:szCs w:val="24"/>
                    </w:rPr>
                  </w:pPr>
                  <w:r>
                    <w:rPr>
                      <w:rFonts w:ascii="Times New Roman" w:hAnsi="Times New Roman"/>
                      <w:sz w:val="24"/>
                      <w:szCs w:val="24"/>
                    </w:rPr>
                    <w:t>B.</w:t>
                  </w:r>
                </w:p>
              </w:txbxContent>
            </v:textbox>
          </v:shape>
        </w:pict>
      </w:r>
      <w:r w:rsidR="006D0856" w:rsidRPr="00526AA2">
        <w:rPr>
          <w:rFonts w:ascii="Times New Roman" w:hAnsi="Times New Roman"/>
          <w:b/>
          <w:noProof/>
          <w:sz w:val="24"/>
          <w:szCs w:val="24"/>
          <w:lang w:eastAsia="pt-BR"/>
        </w:rPr>
        <w:tab/>
      </w:r>
      <w:r w:rsidR="006D0856" w:rsidRPr="00526AA2">
        <w:rPr>
          <w:rFonts w:ascii="Times New Roman" w:hAnsi="Times New Roman"/>
          <w:noProof/>
          <w:sz w:val="24"/>
          <w:szCs w:val="24"/>
          <w:lang w:eastAsia="pt-BR"/>
        </w:rPr>
        <w:t>A precipitação pluvial em anos chuvosos alcançaram para a messoregi</w:t>
      </w:r>
      <w:r w:rsidR="006D0856">
        <w:rPr>
          <w:rFonts w:ascii="Times New Roman" w:hAnsi="Times New Roman"/>
          <w:noProof/>
          <w:sz w:val="24"/>
          <w:szCs w:val="24"/>
          <w:lang w:eastAsia="pt-BR"/>
        </w:rPr>
        <w:t>ã</w:t>
      </w:r>
      <w:r w:rsidR="006D0856" w:rsidRPr="00526AA2">
        <w:rPr>
          <w:rFonts w:ascii="Times New Roman" w:hAnsi="Times New Roman"/>
          <w:noProof/>
          <w:sz w:val="24"/>
          <w:szCs w:val="24"/>
          <w:lang w:eastAsia="pt-BR"/>
        </w:rPr>
        <w:t>o da Zona da Mata cerca de 2700 mm ano</w:t>
      </w:r>
      <w:r w:rsidR="006D0856" w:rsidRPr="00526AA2">
        <w:rPr>
          <w:rFonts w:ascii="Times New Roman" w:hAnsi="Times New Roman"/>
          <w:noProof/>
          <w:sz w:val="24"/>
          <w:szCs w:val="24"/>
          <w:vertAlign w:val="superscript"/>
          <w:lang w:eastAsia="pt-BR"/>
        </w:rPr>
        <w:t>-1</w:t>
      </w:r>
      <w:r w:rsidR="006D0856" w:rsidRPr="00526AA2">
        <w:rPr>
          <w:rFonts w:ascii="Times New Roman" w:hAnsi="Times New Roman"/>
          <w:noProof/>
          <w:sz w:val="24"/>
          <w:szCs w:val="24"/>
          <w:lang w:eastAsia="pt-BR"/>
        </w:rPr>
        <w:t>, com as maiores chuvas concentradas nos meses de abril a julho (Figura 2A). A mesorregião Agreste apresentou chuvas médias anuais de 1400 mm ano</w:t>
      </w:r>
      <w:r w:rsidR="006D0856" w:rsidRPr="00526AA2">
        <w:rPr>
          <w:rFonts w:ascii="Times New Roman" w:hAnsi="Times New Roman"/>
          <w:noProof/>
          <w:sz w:val="24"/>
          <w:szCs w:val="24"/>
          <w:vertAlign w:val="superscript"/>
          <w:lang w:eastAsia="pt-BR"/>
        </w:rPr>
        <w:t>-1</w:t>
      </w:r>
      <w:r w:rsidR="006D0856" w:rsidRPr="00526AA2">
        <w:rPr>
          <w:rFonts w:ascii="Times New Roman" w:hAnsi="Times New Roman"/>
          <w:noProof/>
          <w:sz w:val="24"/>
          <w:szCs w:val="24"/>
          <w:lang w:eastAsia="pt-BR"/>
        </w:rPr>
        <w:t xml:space="preserve"> com concentrações maiores nos meses de abril a junho (Figura 2B). As mesorregiões do Sertão do São Francisco e Sertão apresentaram 800 e 950 mm ano</w:t>
      </w:r>
      <w:r w:rsidR="006D0856" w:rsidRPr="00526AA2">
        <w:rPr>
          <w:rFonts w:ascii="Times New Roman" w:hAnsi="Times New Roman"/>
          <w:noProof/>
          <w:sz w:val="24"/>
          <w:szCs w:val="24"/>
          <w:vertAlign w:val="superscript"/>
          <w:lang w:eastAsia="pt-BR"/>
        </w:rPr>
        <w:t>-1</w:t>
      </w:r>
      <w:r w:rsidR="006D0856" w:rsidRPr="00526AA2">
        <w:rPr>
          <w:rFonts w:ascii="Times New Roman" w:hAnsi="Times New Roman"/>
          <w:noProof/>
          <w:sz w:val="24"/>
          <w:szCs w:val="24"/>
          <w:lang w:eastAsia="pt-BR"/>
        </w:rPr>
        <w:t xml:space="preserve"> respectivamente com maiores concentrações de chuva nos meses de janeiro a abril (Figura 2C e 2D). Apesar de não afetar nenhum dos processos metabólicos das plantas as chuvas afetam diretamente o crescimento e desenvolvimento das culturas como afirma H</w:t>
      </w:r>
      <w:r w:rsidR="003017D0" w:rsidRPr="00526AA2">
        <w:rPr>
          <w:rFonts w:ascii="Times New Roman" w:hAnsi="Times New Roman"/>
          <w:noProof/>
          <w:sz w:val="24"/>
          <w:szCs w:val="24"/>
          <w:lang w:eastAsia="pt-BR"/>
        </w:rPr>
        <w:t>OOGENBOOM</w:t>
      </w:r>
      <w:r w:rsidR="006D0856" w:rsidRPr="00526AA2">
        <w:rPr>
          <w:rFonts w:ascii="Times New Roman" w:hAnsi="Times New Roman"/>
          <w:noProof/>
          <w:sz w:val="24"/>
          <w:szCs w:val="24"/>
          <w:lang w:eastAsia="pt-BR"/>
        </w:rPr>
        <w:t xml:space="preserve"> (2000) e descrito por M</w:t>
      </w:r>
      <w:r w:rsidR="003017D0" w:rsidRPr="00526AA2">
        <w:rPr>
          <w:rFonts w:ascii="Times New Roman" w:hAnsi="Times New Roman"/>
          <w:noProof/>
          <w:sz w:val="24"/>
          <w:szCs w:val="24"/>
          <w:lang w:eastAsia="pt-BR"/>
        </w:rPr>
        <w:t>ONTEIRO</w:t>
      </w:r>
      <w:r w:rsidR="006D0856" w:rsidRPr="00526AA2">
        <w:rPr>
          <w:rFonts w:ascii="Times New Roman" w:hAnsi="Times New Roman"/>
          <w:noProof/>
          <w:sz w:val="24"/>
          <w:szCs w:val="24"/>
          <w:lang w:eastAsia="pt-BR"/>
        </w:rPr>
        <w:t xml:space="preserve"> (2009) além de contribuir para a disponibilidade hídrica dos solos para absorção de agua pelas culturas. </w:t>
      </w:r>
    </w:p>
    <w:p w:rsidR="006D0856" w:rsidRPr="00526AA2" w:rsidRDefault="00026642" w:rsidP="00753FA3">
      <w:pPr>
        <w:spacing w:line="480" w:lineRule="auto"/>
        <w:ind w:right="-1"/>
        <w:jc w:val="both"/>
        <w:rPr>
          <w:rFonts w:ascii="Times New Roman" w:hAnsi="Times New Roman"/>
        </w:rPr>
      </w:pPr>
      <w:r w:rsidRPr="00026642">
        <w:rPr>
          <w:rFonts w:ascii="Times New Roman" w:hAnsi="Times New Roman"/>
          <w:b/>
          <w:noProof/>
          <w:sz w:val="24"/>
          <w:szCs w:val="24"/>
          <w:lang w:eastAsia="pt-BR"/>
        </w:rPr>
        <w:pict>
          <v:shape id="_x0000_s1050" type="#_x0000_t202" style="position:absolute;left:0;text-align:left;margin-left:35.6pt;margin-top:159.2pt;width:29.35pt;height:22.85pt;z-index:251685888;mso-width-relative:margin;mso-height-relative:margin" stroked="f" strokecolor="white">
            <v:fill opacity="0"/>
            <v:textbox style="mso-next-textbox:#_x0000_s1050">
              <w:txbxContent>
                <w:p w:rsidR="006D0856" w:rsidRPr="00B64FBC" w:rsidRDefault="006D0856" w:rsidP="006D0856">
                  <w:pPr>
                    <w:rPr>
                      <w:rFonts w:ascii="Times New Roman" w:hAnsi="Times New Roman"/>
                      <w:sz w:val="24"/>
                      <w:szCs w:val="24"/>
                    </w:rPr>
                  </w:pPr>
                  <w:r>
                    <w:rPr>
                      <w:rFonts w:ascii="Times New Roman" w:hAnsi="Times New Roman"/>
                      <w:sz w:val="24"/>
                      <w:szCs w:val="24"/>
                    </w:rPr>
                    <w:t>C.</w:t>
                  </w:r>
                </w:p>
              </w:txbxContent>
            </v:textbox>
          </v:shape>
        </w:pict>
      </w:r>
      <w:r w:rsidRPr="00026642">
        <w:rPr>
          <w:rFonts w:ascii="Times New Roman" w:hAnsi="Times New Roman"/>
          <w:b/>
          <w:noProof/>
          <w:sz w:val="24"/>
          <w:szCs w:val="24"/>
          <w:lang w:eastAsia="pt-BR"/>
        </w:rPr>
        <w:pict>
          <v:shape id="_x0000_s1051" type="#_x0000_t202" style="position:absolute;left:0;text-align:left;margin-left:236.95pt;margin-top:159.2pt;width:29.35pt;height:22.85pt;z-index:251686912;mso-width-relative:margin;mso-height-relative:margin" stroked="f" strokecolor="white">
            <v:fill opacity="0"/>
            <v:textbox style="mso-next-textbox:#_x0000_s1051">
              <w:txbxContent>
                <w:p w:rsidR="006D0856" w:rsidRPr="00B64FBC" w:rsidRDefault="006D0856" w:rsidP="006D0856">
                  <w:pPr>
                    <w:rPr>
                      <w:rFonts w:ascii="Times New Roman" w:hAnsi="Times New Roman"/>
                      <w:sz w:val="24"/>
                      <w:szCs w:val="24"/>
                    </w:rPr>
                  </w:pPr>
                  <w:r>
                    <w:rPr>
                      <w:rFonts w:ascii="Times New Roman" w:hAnsi="Times New Roman"/>
                      <w:sz w:val="24"/>
                      <w:szCs w:val="24"/>
                    </w:rPr>
                    <w:t>D.</w:t>
                  </w:r>
                </w:p>
              </w:txbxContent>
            </v:textbox>
          </v:shape>
        </w:pict>
      </w:r>
      <w:r w:rsidR="006D0856">
        <w:rPr>
          <w:rFonts w:ascii="Times New Roman" w:hAnsi="Times New Roman"/>
          <w:noProof/>
          <w:lang w:eastAsia="pt-BR"/>
        </w:rPr>
        <w:drawing>
          <wp:inline distT="0" distB="0" distL="0" distR="0">
            <wp:extent cx="2520950" cy="1980000"/>
            <wp:effectExtent l="0" t="0" r="0" b="0"/>
            <wp:docPr id="45" name="Gráfico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6D0856">
        <w:rPr>
          <w:rFonts w:ascii="Times New Roman" w:hAnsi="Times New Roman"/>
          <w:noProof/>
          <w:lang w:eastAsia="pt-BR"/>
        </w:rPr>
        <w:drawing>
          <wp:inline distT="0" distB="0" distL="0" distR="0">
            <wp:extent cx="2520950" cy="1980000"/>
            <wp:effectExtent l="0" t="0" r="0" b="0"/>
            <wp:docPr id="44" name="Gráfico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6D0856">
        <w:rPr>
          <w:rFonts w:ascii="Times New Roman" w:hAnsi="Times New Roman"/>
          <w:noProof/>
          <w:lang w:eastAsia="pt-BR"/>
        </w:rPr>
        <w:drawing>
          <wp:inline distT="0" distB="0" distL="0" distR="0">
            <wp:extent cx="2520950" cy="1980000"/>
            <wp:effectExtent l="0" t="0" r="0" b="0"/>
            <wp:docPr id="43" name="Gráfico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6D0856">
        <w:rPr>
          <w:rFonts w:ascii="Times New Roman" w:hAnsi="Times New Roman"/>
          <w:noProof/>
          <w:lang w:eastAsia="pt-BR"/>
        </w:rPr>
        <w:drawing>
          <wp:inline distT="0" distB="0" distL="0" distR="0">
            <wp:extent cx="2520950" cy="1980000"/>
            <wp:effectExtent l="0" t="0" r="0" b="0"/>
            <wp:docPr id="42"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B12BE" w:rsidRPr="005443B6" w:rsidRDefault="00CB12BE" w:rsidP="00CB12BE">
      <w:pPr>
        <w:spacing w:line="480" w:lineRule="auto"/>
        <w:ind w:right="-1"/>
        <w:jc w:val="both"/>
        <w:rPr>
          <w:rStyle w:val="hps"/>
          <w:rFonts w:ascii="Times New Roman" w:hAnsi="Times New Roman"/>
          <w:sz w:val="24"/>
          <w:szCs w:val="24"/>
          <w:lang w:val="en-US"/>
        </w:rPr>
      </w:pPr>
      <w:proofErr w:type="gramStart"/>
      <w:r w:rsidRPr="005443B6">
        <w:rPr>
          <w:rStyle w:val="hps"/>
          <w:rFonts w:ascii="Times New Roman" w:hAnsi="Times New Roman"/>
          <w:b/>
          <w:sz w:val="24"/>
          <w:szCs w:val="24"/>
          <w:lang w:val="en-US"/>
        </w:rPr>
        <w:t>Figure</w:t>
      </w:r>
      <w:r w:rsidRPr="005443B6">
        <w:rPr>
          <w:rFonts w:ascii="Times New Roman" w:hAnsi="Times New Roman"/>
          <w:b/>
          <w:sz w:val="24"/>
          <w:szCs w:val="24"/>
          <w:lang w:val="en-US"/>
        </w:rPr>
        <w:t xml:space="preserve"> </w:t>
      </w:r>
      <w:r w:rsidRPr="005443B6">
        <w:rPr>
          <w:rStyle w:val="hps"/>
          <w:rFonts w:ascii="Times New Roman" w:hAnsi="Times New Roman"/>
          <w:b/>
          <w:sz w:val="24"/>
          <w:szCs w:val="24"/>
          <w:lang w:val="en-US"/>
        </w:rPr>
        <w:t>2</w:t>
      </w:r>
      <w:r w:rsidRPr="005443B6">
        <w:rPr>
          <w:rFonts w:ascii="Times New Roman" w:hAnsi="Times New Roman"/>
          <w:b/>
          <w:sz w:val="24"/>
          <w:szCs w:val="24"/>
          <w:lang w:val="en-US"/>
        </w:rPr>
        <w:t>.</w:t>
      </w:r>
      <w:proofErr w:type="gramEnd"/>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Rainfall</w:t>
      </w:r>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for</w:t>
      </w:r>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the</w:t>
      </w:r>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wet years</w:t>
      </w:r>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messoregiões</w:t>
      </w:r>
      <w:r w:rsidRPr="005443B6">
        <w:rPr>
          <w:rFonts w:ascii="Times New Roman" w:hAnsi="Times New Roman"/>
          <w:sz w:val="24"/>
          <w:szCs w:val="24"/>
          <w:lang w:val="en-US"/>
        </w:rPr>
        <w:t xml:space="preserve">: Zone of </w:t>
      </w:r>
      <w:proofErr w:type="gramStart"/>
      <w:r w:rsidRPr="005443B6">
        <w:rPr>
          <w:rFonts w:ascii="Times New Roman" w:hAnsi="Times New Roman"/>
          <w:sz w:val="24"/>
          <w:szCs w:val="24"/>
          <w:lang w:val="en-US"/>
        </w:rPr>
        <w:t xml:space="preserve">Forest  </w:t>
      </w:r>
      <w:r w:rsidRPr="005443B6">
        <w:rPr>
          <w:rStyle w:val="hps"/>
          <w:rFonts w:ascii="Times New Roman" w:hAnsi="Times New Roman"/>
          <w:sz w:val="24"/>
          <w:szCs w:val="24"/>
          <w:lang w:val="en-US"/>
        </w:rPr>
        <w:t>(</w:t>
      </w:r>
      <w:proofErr w:type="gramEnd"/>
      <w:r w:rsidRPr="005443B6">
        <w:rPr>
          <w:rStyle w:val="hps"/>
          <w:rFonts w:ascii="Times New Roman" w:hAnsi="Times New Roman"/>
          <w:sz w:val="24"/>
          <w:szCs w:val="24"/>
          <w:lang w:val="en-US"/>
        </w:rPr>
        <w:t>A),</w:t>
      </w:r>
      <w:r w:rsidRPr="005443B6">
        <w:rPr>
          <w:rFonts w:ascii="Times New Roman" w:hAnsi="Times New Roman"/>
          <w:sz w:val="24"/>
          <w:szCs w:val="24"/>
          <w:lang w:val="en-US"/>
        </w:rPr>
        <w:t xml:space="preserve"> </w:t>
      </w:r>
      <w:proofErr w:type="spellStart"/>
      <w:r w:rsidRPr="005443B6">
        <w:rPr>
          <w:rStyle w:val="hps"/>
          <w:rFonts w:ascii="Times New Roman" w:hAnsi="Times New Roman"/>
          <w:sz w:val="24"/>
          <w:szCs w:val="24"/>
          <w:lang w:val="en-US"/>
        </w:rPr>
        <w:t>Agreste</w:t>
      </w:r>
      <w:proofErr w:type="spellEnd"/>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(B),</w:t>
      </w:r>
      <w:r w:rsidRPr="005443B6">
        <w:rPr>
          <w:rFonts w:ascii="Times New Roman" w:hAnsi="Times New Roman"/>
          <w:sz w:val="24"/>
          <w:szCs w:val="24"/>
          <w:lang w:val="en-US"/>
        </w:rPr>
        <w:t xml:space="preserve"> </w:t>
      </w:r>
      <w:proofErr w:type="spellStart"/>
      <w:r w:rsidRPr="005443B6">
        <w:rPr>
          <w:rStyle w:val="hps"/>
          <w:rFonts w:ascii="Times New Roman" w:hAnsi="Times New Roman"/>
          <w:sz w:val="24"/>
          <w:szCs w:val="24"/>
          <w:lang w:val="en-US"/>
        </w:rPr>
        <w:t>Sertão</w:t>
      </w:r>
      <w:proofErr w:type="spellEnd"/>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(C) and</w:t>
      </w:r>
      <w:r w:rsidRPr="005443B6">
        <w:rPr>
          <w:rFonts w:ascii="Times New Roman" w:hAnsi="Times New Roman"/>
          <w:sz w:val="24"/>
          <w:szCs w:val="24"/>
          <w:lang w:val="en-US"/>
        </w:rPr>
        <w:t xml:space="preserve"> </w:t>
      </w:r>
      <w:proofErr w:type="spellStart"/>
      <w:r w:rsidRPr="005443B6">
        <w:rPr>
          <w:rStyle w:val="hps"/>
          <w:rFonts w:ascii="Times New Roman" w:hAnsi="Times New Roman"/>
          <w:sz w:val="24"/>
          <w:szCs w:val="24"/>
          <w:lang w:val="en-US"/>
        </w:rPr>
        <w:t>Sertão</w:t>
      </w:r>
      <w:proofErr w:type="spellEnd"/>
      <w:r w:rsidRPr="005443B6">
        <w:rPr>
          <w:rStyle w:val="hps"/>
          <w:rFonts w:ascii="Times New Roman" w:hAnsi="Times New Roman"/>
          <w:sz w:val="24"/>
          <w:szCs w:val="24"/>
          <w:lang w:val="en-US"/>
        </w:rPr>
        <w:t xml:space="preserve"> of</w:t>
      </w:r>
      <w:r w:rsidRPr="005443B6">
        <w:rPr>
          <w:rFonts w:ascii="Times New Roman" w:hAnsi="Times New Roman"/>
          <w:sz w:val="24"/>
          <w:szCs w:val="24"/>
          <w:lang w:val="en-US"/>
        </w:rPr>
        <w:t xml:space="preserve"> </w:t>
      </w:r>
      <w:r w:rsidRPr="005443B6">
        <w:rPr>
          <w:rStyle w:val="hps"/>
          <w:rFonts w:ascii="Times New Roman" w:hAnsi="Times New Roman"/>
          <w:sz w:val="24"/>
          <w:szCs w:val="24"/>
          <w:lang w:val="en-US"/>
        </w:rPr>
        <w:t>San Francisco (D)</w:t>
      </w:r>
      <w:r w:rsidR="00F81842">
        <w:rPr>
          <w:rStyle w:val="hps"/>
          <w:rFonts w:ascii="Times New Roman" w:hAnsi="Times New Roman"/>
          <w:sz w:val="24"/>
          <w:szCs w:val="24"/>
          <w:lang w:val="en-US"/>
        </w:rPr>
        <w:t>.</w:t>
      </w:r>
    </w:p>
    <w:p w:rsidR="006D0856" w:rsidRPr="00526AA2" w:rsidRDefault="006D0856" w:rsidP="00753FA3">
      <w:pPr>
        <w:spacing w:line="480" w:lineRule="auto"/>
        <w:ind w:right="-1"/>
        <w:jc w:val="both"/>
        <w:rPr>
          <w:rFonts w:ascii="Times New Roman" w:hAnsi="Times New Roman"/>
          <w:noProof/>
          <w:sz w:val="24"/>
          <w:szCs w:val="24"/>
          <w:lang w:eastAsia="pt-BR"/>
        </w:rPr>
      </w:pPr>
      <w:r w:rsidRPr="00CB12BE">
        <w:rPr>
          <w:rFonts w:ascii="Times New Roman" w:hAnsi="Times New Roman"/>
          <w:noProof/>
          <w:sz w:val="24"/>
          <w:szCs w:val="24"/>
          <w:lang w:val="en-US" w:eastAsia="pt-BR"/>
        </w:rPr>
        <w:lastRenderedPageBreak/>
        <w:tab/>
      </w:r>
      <w:r w:rsidRPr="00526AA2">
        <w:rPr>
          <w:rFonts w:ascii="Times New Roman" w:hAnsi="Times New Roman"/>
          <w:noProof/>
          <w:sz w:val="24"/>
          <w:szCs w:val="24"/>
          <w:lang w:eastAsia="pt-BR"/>
        </w:rPr>
        <w:t>A  evapotranspiração potencial  apresentou variações durante todo o período, na Zona da mata alcançando os maiores índices nos meses de janeiro e fevereiro com média de 140 mm mês</w:t>
      </w:r>
      <w:r w:rsidRPr="00526AA2">
        <w:rPr>
          <w:rFonts w:ascii="Times New Roman" w:hAnsi="Times New Roman"/>
          <w:noProof/>
          <w:sz w:val="24"/>
          <w:szCs w:val="24"/>
          <w:vertAlign w:val="superscript"/>
          <w:lang w:eastAsia="pt-BR"/>
        </w:rPr>
        <w:t xml:space="preserve">-1 </w:t>
      </w:r>
      <w:r>
        <w:rPr>
          <w:rFonts w:ascii="Times New Roman" w:hAnsi="Times New Roman"/>
          <w:noProof/>
          <w:sz w:val="24"/>
          <w:szCs w:val="24"/>
          <w:lang w:eastAsia="pt-BR"/>
        </w:rPr>
        <w:t>(Figura 3</w:t>
      </w:r>
      <w:r w:rsidRPr="00526AA2">
        <w:rPr>
          <w:rFonts w:ascii="Times New Roman" w:hAnsi="Times New Roman"/>
          <w:noProof/>
          <w:sz w:val="24"/>
          <w:szCs w:val="24"/>
          <w:lang w:eastAsia="pt-BR"/>
        </w:rPr>
        <w:t>A).  Na  Mes</w:t>
      </w:r>
      <w:r>
        <w:rPr>
          <w:rFonts w:ascii="Times New Roman" w:hAnsi="Times New Roman"/>
          <w:noProof/>
          <w:sz w:val="24"/>
          <w:szCs w:val="24"/>
          <w:lang w:eastAsia="pt-BR"/>
        </w:rPr>
        <w:t>soregião Agreste do Estado a ETp</w:t>
      </w:r>
      <w:r w:rsidRPr="00526AA2">
        <w:rPr>
          <w:rFonts w:ascii="Times New Roman" w:hAnsi="Times New Roman"/>
          <w:noProof/>
          <w:sz w:val="24"/>
          <w:szCs w:val="24"/>
          <w:lang w:eastAsia="pt-BR"/>
        </w:rPr>
        <w:t xml:space="preserve"> atingiu maiores valores nos meses de janeiro e fevereiro e de outubro a dezembro</w:t>
      </w:r>
      <w:r>
        <w:rPr>
          <w:rFonts w:ascii="Times New Roman" w:hAnsi="Times New Roman"/>
          <w:noProof/>
          <w:sz w:val="24"/>
          <w:szCs w:val="24"/>
          <w:lang w:eastAsia="pt-BR"/>
        </w:rPr>
        <w:t xml:space="preserve"> (Figura 3</w:t>
      </w:r>
      <w:r w:rsidRPr="00526AA2">
        <w:rPr>
          <w:rFonts w:ascii="Times New Roman" w:hAnsi="Times New Roman"/>
          <w:noProof/>
          <w:sz w:val="24"/>
          <w:szCs w:val="24"/>
          <w:lang w:eastAsia="pt-BR"/>
        </w:rPr>
        <w:t>B). Para as mesoregi</w:t>
      </w:r>
      <w:r>
        <w:rPr>
          <w:rFonts w:ascii="Times New Roman" w:hAnsi="Times New Roman"/>
          <w:noProof/>
          <w:sz w:val="24"/>
          <w:szCs w:val="24"/>
          <w:lang w:eastAsia="pt-BR"/>
        </w:rPr>
        <w:t>õ</w:t>
      </w:r>
      <w:r w:rsidRPr="00526AA2">
        <w:rPr>
          <w:rFonts w:ascii="Times New Roman" w:hAnsi="Times New Roman"/>
          <w:noProof/>
          <w:sz w:val="24"/>
          <w:szCs w:val="24"/>
          <w:lang w:eastAsia="pt-BR"/>
        </w:rPr>
        <w:t>es do Sertão do São Francisco e Sertão atingiram média de 160 mm mês</w:t>
      </w:r>
      <w:r w:rsidRPr="00526AA2">
        <w:rPr>
          <w:rFonts w:ascii="Times New Roman" w:hAnsi="Times New Roman"/>
          <w:noProof/>
          <w:sz w:val="24"/>
          <w:szCs w:val="24"/>
          <w:vertAlign w:val="superscript"/>
          <w:lang w:eastAsia="pt-BR"/>
        </w:rPr>
        <w:t xml:space="preserve">-1  </w:t>
      </w:r>
      <w:r>
        <w:rPr>
          <w:rFonts w:ascii="Times New Roman" w:hAnsi="Times New Roman"/>
          <w:noProof/>
          <w:sz w:val="24"/>
          <w:szCs w:val="24"/>
          <w:lang w:eastAsia="pt-BR"/>
        </w:rPr>
        <w:t>(Figura 3C e 3D). Os maiores valores da ETp</w:t>
      </w:r>
      <w:r w:rsidRPr="00526AA2">
        <w:rPr>
          <w:rFonts w:ascii="Times New Roman" w:hAnsi="Times New Roman"/>
          <w:noProof/>
          <w:sz w:val="24"/>
          <w:szCs w:val="24"/>
          <w:lang w:eastAsia="pt-BR"/>
        </w:rPr>
        <w:t xml:space="preserve"> foram encontrados nas épocas de menores chuvas durante o ano c</w:t>
      </w:r>
      <w:r>
        <w:rPr>
          <w:rFonts w:ascii="Times New Roman" w:hAnsi="Times New Roman"/>
          <w:noProof/>
          <w:sz w:val="24"/>
          <w:szCs w:val="24"/>
          <w:lang w:eastAsia="pt-BR"/>
        </w:rPr>
        <w:t>omo encontrado por L</w:t>
      </w:r>
      <w:r w:rsidR="003017D0">
        <w:rPr>
          <w:rFonts w:ascii="Times New Roman" w:hAnsi="Times New Roman"/>
          <w:noProof/>
          <w:sz w:val="24"/>
          <w:szCs w:val="24"/>
          <w:lang w:eastAsia="pt-BR"/>
        </w:rPr>
        <w:t>EMOS</w:t>
      </w:r>
      <w:r>
        <w:rPr>
          <w:rFonts w:ascii="Times New Roman" w:hAnsi="Times New Roman"/>
          <w:noProof/>
          <w:sz w:val="24"/>
          <w:szCs w:val="24"/>
          <w:lang w:eastAsia="pt-BR"/>
        </w:rPr>
        <w:t xml:space="preserve"> et al.</w:t>
      </w:r>
      <w:r w:rsidRPr="00526AA2">
        <w:rPr>
          <w:rFonts w:ascii="Times New Roman" w:hAnsi="Times New Roman"/>
          <w:noProof/>
          <w:sz w:val="24"/>
          <w:szCs w:val="24"/>
          <w:lang w:eastAsia="pt-BR"/>
        </w:rPr>
        <w:t xml:space="preserve"> (2007) em estudos de evapotranspiração em Minas Gerais.</w:t>
      </w:r>
    </w:p>
    <w:p w:rsidR="006D0856" w:rsidRPr="00526AA2" w:rsidRDefault="00026642" w:rsidP="00753FA3">
      <w:pPr>
        <w:spacing w:line="480" w:lineRule="auto"/>
        <w:ind w:right="-1"/>
        <w:rPr>
          <w:rFonts w:ascii="Times New Roman" w:hAnsi="Times New Roman"/>
          <w:noProof/>
          <w:sz w:val="24"/>
          <w:szCs w:val="24"/>
          <w:lang w:eastAsia="pt-BR"/>
        </w:rPr>
      </w:pPr>
      <w:r>
        <w:rPr>
          <w:rFonts w:ascii="Times New Roman" w:hAnsi="Times New Roman"/>
          <w:noProof/>
          <w:sz w:val="24"/>
          <w:szCs w:val="24"/>
          <w:lang w:eastAsia="pt-BR"/>
        </w:rPr>
        <w:pict>
          <v:shape id="_x0000_s1033" type="#_x0000_t202" style="position:absolute;margin-left:197.9pt;margin-top:169.85pt;width:29.35pt;height:22.85pt;z-index:251668480;mso-width-relative:margin;mso-height-relative:margin" stroked="f" strokecolor="white">
            <v:fill opacity="0"/>
            <v:textbox style="mso-next-textbox:#_x0000_s1033">
              <w:txbxContent>
                <w:p w:rsidR="006D0856" w:rsidRPr="00B64FBC" w:rsidRDefault="006D0856" w:rsidP="006D0856">
                  <w:pPr>
                    <w:rPr>
                      <w:rFonts w:ascii="Times New Roman" w:hAnsi="Times New Roman"/>
                      <w:sz w:val="24"/>
                      <w:szCs w:val="24"/>
                    </w:rPr>
                  </w:pPr>
                  <w:r>
                    <w:rPr>
                      <w:rFonts w:ascii="Times New Roman" w:hAnsi="Times New Roman"/>
                      <w:sz w:val="24"/>
                      <w:szCs w:val="24"/>
                    </w:rPr>
                    <w:t>D.</w:t>
                  </w:r>
                </w:p>
              </w:txbxContent>
            </v:textbox>
          </v:shape>
        </w:pict>
      </w:r>
      <w:r>
        <w:rPr>
          <w:rFonts w:ascii="Times New Roman" w:hAnsi="Times New Roman"/>
          <w:noProof/>
          <w:sz w:val="24"/>
          <w:szCs w:val="24"/>
          <w:lang w:eastAsia="pt-BR"/>
        </w:rPr>
        <w:pict>
          <v:shape id="_x0000_s1032" type="#_x0000_t202" style="position:absolute;margin-left:-7.95pt;margin-top:169.85pt;width:29.35pt;height:22.85pt;z-index:251667456;mso-width-relative:margin;mso-height-relative:margin" stroked="f" strokecolor="white">
            <v:fill opacity="0"/>
            <v:textbox style="mso-next-textbox:#_x0000_s1032">
              <w:txbxContent>
                <w:p w:rsidR="006D0856" w:rsidRPr="00B64FBC" w:rsidRDefault="006D0856" w:rsidP="006D0856">
                  <w:pPr>
                    <w:rPr>
                      <w:rFonts w:ascii="Times New Roman" w:hAnsi="Times New Roman"/>
                      <w:sz w:val="24"/>
                      <w:szCs w:val="24"/>
                    </w:rPr>
                  </w:pPr>
                  <w:r>
                    <w:rPr>
                      <w:rFonts w:ascii="Times New Roman" w:hAnsi="Times New Roman"/>
                      <w:sz w:val="24"/>
                      <w:szCs w:val="24"/>
                    </w:rPr>
                    <w:t>C.</w:t>
                  </w:r>
                </w:p>
              </w:txbxContent>
            </v:textbox>
          </v:shape>
        </w:pict>
      </w:r>
      <w:r>
        <w:rPr>
          <w:rFonts w:ascii="Times New Roman" w:hAnsi="Times New Roman"/>
          <w:noProof/>
          <w:sz w:val="24"/>
          <w:szCs w:val="24"/>
          <w:lang w:eastAsia="pt-BR"/>
        </w:rPr>
        <w:pict>
          <v:shape id="_x0000_s1031" type="#_x0000_t202" style="position:absolute;margin-left:203.85pt;margin-top:-7.75pt;width:29.35pt;height:22.85pt;z-index:251666432;mso-width-relative:margin;mso-height-relative:margin" stroked="f" strokecolor="white">
            <v:fill opacity="0"/>
            <v:textbox style="mso-next-textbox:#_x0000_s1031">
              <w:txbxContent>
                <w:p w:rsidR="006D0856" w:rsidRPr="00B64FBC" w:rsidRDefault="006D0856" w:rsidP="006D0856">
                  <w:pPr>
                    <w:rPr>
                      <w:rFonts w:ascii="Times New Roman" w:hAnsi="Times New Roman"/>
                      <w:sz w:val="24"/>
                      <w:szCs w:val="24"/>
                    </w:rPr>
                  </w:pPr>
                  <w:r>
                    <w:rPr>
                      <w:rFonts w:ascii="Times New Roman" w:hAnsi="Times New Roman"/>
                      <w:sz w:val="24"/>
                      <w:szCs w:val="24"/>
                    </w:rPr>
                    <w:t>B.</w:t>
                  </w:r>
                </w:p>
              </w:txbxContent>
            </v:textbox>
          </v:shape>
        </w:pict>
      </w:r>
      <w:r>
        <w:rPr>
          <w:rFonts w:ascii="Times New Roman" w:hAnsi="Times New Roman"/>
          <w:noProof/>
          <w:sz w:val="24"/>
          <w:szCs w:val="24"/>
          <w:lang w:eastAsia="pt-BR"/>
        </w:rPr>
        <w:pict>
          <v:shape id="_x0000_s1030" type="#_x0000_t202" style="position:absolute;margin-left:-5.35pt;margin-top:-3.25pt;width:29.35pt;height:22.85pt;z-index:251665408;mso-width-relative:margin;mso-height-relative:margin" stroked="f" strokecolor="white">
            <v:fill opacity="0"/>
            <v:textbox style="mso-next-textbox:#_x0000_s1030">
              <w:txbxContent>
                <w:p w:rsidR="006D0856" w:rsidRPr="00B64FBC" w:rsidRDefault="006D0856" w:rsidP="006D0856">
                  <w:pPr>
                    <w:rPr>
                      <w:rFonts w:ascii="Times New Roman" w:hAnsi="Times New Roman"/>
                      <w:sz w:val="24"/>
                      <w:szCs w:val="24"/>
                    </w:rPr>
                  </w:pPr>
                  <w:r>
                    <w:rPr>
                      <w:rFonts w:ascii="Times New Roman" w:hAnsi="Times New Roman"/>
                      <w:sz w:val="24"/>
                      <w:szCs w:val="24"/>
                    </w:rPr>
                    <w:t>A.</w:t>
                  </w:r>
                </w:p>
              </w:txbxContent>
            </v:textbox>
          </v:shape>
        </w:pict>
      </w:r>
      <w:r w:rsidR="006D0856">
        <w:rPr>
          <w:rFonts w:ascii="Times New Roman" w:hAnsi="Times New Roman"/>
          <w:noProof/>
          <w:sz w:val="24"/>
          <w:szCs w:val="24"/>
          <w:lang w:eastAsia="pt-BR"/>
        </w:rPr>
        <w:drawing>
          <wp:inline distT="0" distB="0" distL="0" distR="0">
            <wp:extent cx="2647950" cy="1980000"/>
            <wp:effectExtent l="0" t="0" r="0" b="0"/>
            <wp:docPr id="41" name="Gráfico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6D0856">
        <w:rPr>
          <w:rFonts w:ascii="Times New Roman" w:hAnsi="Times New Roman"/>
          <w:noProof/>
          <w:sz w:val="24"/>
          <w:szCs w:val="24"/>
          <w:lang w:eastAsia="pt-BR"/>
        </w:rPr>
        <w:drawing>
          <wp:inline distT="0" distB="0" distL="0" distR="0">
            <wp:extent cx="2647950" cy="1980000"/>
            <wp:effectExtent l="0" t="0" r="0" b="0"/>
            <wp:docPr id="40" name="Gráfico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D0856" w:rsidRPr="00526AA2" w:rsidRDefault="006D0856" w:rsidP="00753FA3">
      <w:pPr>
        <w:spacing w:line="480" w:lineRule="auto"/>
        <w:ind w:right="-1"/>
        <w:rPr>
          <w:rFonts w:ascii="Times New Roman" w:hAnsi="Times New Roman"/>
          <w:sz w:val="24"/>
          <w:szCs w:val="24"/>
          <w:lang w:eastAsia="pt-BR"/>
        </w:rPr>
      </w:pPr>
      <w:r>
        <w:rPr>
          <w:rFonts w:ascii="Times New Roman" w:hAnsi="Times New Roman"/>
          <w:noProof/>
          <w:sz w:val="24"/>
          <w:szCs w:val="24"/>
          <w:lang w:eastAsia="pt-BR"/>
        </w:rPr>
        <w:drawing>
          <wp:inline distT="0" distB="0" distL="0" distR="0">
            <wp:extent cx="2660650" cy="1980000"/>
            <wp:effectExtent l="0" t="0" r="0" b="0"/>
            <wp:docPr id="39" name="Gráfico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Times New Roman" w:hAnsi="Times New Roman"/>
          <w:noProof/>
          <w:sz w:val="24"/>
          <w:szCs w:val="24"/>
          <w:lang w:eastAsia="pt-BR"/>
        </w:rPr>
        <w:drawing>
          <wp:inline distT="0" distB="0" distL="0" distR="0">
            <wp:extent cx="2647950" cy="1980000"/>
            <wp:effectExtent l="0" t="0" r="0" b="0"/>
            <wp:docPr id="38" name="Gráfico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D0856" w:rsidRPr="00F81842" w:rsidRDefault="006D0856" w:rsidP="00753FA3">
      <w:pPr>
        <w:spacing w:line="480" w:lineRule="auto"/>
        <w:ind w:right="-1"/>
        <w:rPr>
          <w:rFonts w:ascii="Times New Roman" w:hAnsi="Times New Roman"/>
          <w:sz w:val="24"/>
          <w:szCs w:val="24"/>
          <w:lang w:val="en-US" w:eastAsia="pt-BR"/>
        </w:rPr>
      </w:pPr>
      <w:proofErr w:type="gramStart"/>
      <w:r w:rsidRPr="00F81842">
        <w:rPr>
          <w:rFonts w:ascii="Times New Roman" w:hAnsi="Times New Roman"/>
          <w:b/>
          <w:sz w:val="24"/>
          <w:szCs w:val="24"/>
          <w:lang w:val="en-US" w:eastAsia="pt-BR"/>
        </w:rPr>
        <w:t>Figur</w:t>
      </w:r>
      <w:r w:rsidR="00F81842" w:rsidRPr="00F81842">
        <w:rPr>
          <w:rFonts w:ascii="Times New Roman" w:hAnsi="Times New Roman"/>
          <w:b/>
          <w:sz w:val="24"/>
          <w:szCs w:val="24"/>
          <w:lang w:val="en-US" w:eastAsia="pt-BR"/>
        </w:rPr>
        <w:t>e</w:t>
      </w:r>
      <w:r w:rsidRPr="00F81842">
        <w:rPr>
          <w:rFonts w:ascii="Times New Roman" w:hAnsi="Times New Roman"/>
          <w:b/>
          <w:sz w:val="24"/>
          <w:szCs w:val="24"/>
          <w:lang w:val="en-US" w:eastAsia="pt-BR"/>
        </w:rPr>
        <w:t xml:space="preserve"> 3</w:t>
      </w:r>
      <w:r w:rsidRPr="00F81842">
        <w:rPr>
          <w:rFonts w:ascii="Times New Roman" w:hAnsi="Times New Roman"/>
          <w:sz w:val="24"/>
          <w:szCs w:val="24"/>
          <w:lang w:val="en-US" w:eastAsia="pt-BR"/>
        </w:rPr>
        <w:t>.</w:t>
      </w:r>
      <w:proofErr w:type="gramEnd"/>
      <w:r w:rsidRPr="00F81842">
        <w:rPr>
          <w:rFonts w:ascii="Times New Roman" w:hAnsi="Times New Roman"/>
          <w:sz w:val="24"/>
          <w:szCs w:val="24"/>
          <w:lang w:val="en-US" w:eastAsia="pt-BR"/>
        </w:rPr>
        <w:t xml:space="preserve"> </w:t>
      </w:r>
      <w:proofErr w:type="gramStart"/>
      <w:r w:rsidR="00F81842" w:rsidRPr="00F81842">
        <w:rPr>
          <w:rStyle w:val="hps"/>
          <w:rFonts w:ascii="Times New Roman" w:hAnsi="Times New Roman"/>
          <w:sz w:val="24"/>
          <w:szCs w:val="24"/>
          <w:lang w:val="en-US"/>
        </w:rPr>
        <w:t>Monthly</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potential evapotranspiration</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for</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wet years</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 xml:space="preserve">the </w:t>
      </w:r>
      <w:r w:rsidR="00F81842" w:rsidRPr="00F81842">
        <w:rPr>
          <w:rFonts w:ascii="Times New Roman" w:hAnsi="Times New Roman"/>
          <w:sz w:val="24"/>
          <w:szCs w:val="24"/>
          <w:lang w:val="en-US"/>
        </w:rPr>
        <w:t xml:space="preserve">Zone of Forest </w:t>
      </w:r>
      <w:r w:rsidR="00F81842" w:rsidRPr="00F81842">
        <w:rPr>
          <w:rStyle w:val="hps"/>
          <w:rFonts w:ascii="Times New Roman" w:hAnsi="Times New Roman"/>
          <w:sz w:val="24"/>
          <w:szCs w:val="24"/>
          <w:lang w:val="en-US"/>
        </w:rPr>
        <w:t xml:space="preserve"> </w:t>
      </w:r>
      <w:r w:rsidR="00F81842" w:rsidRPr="00F81842">
        <w:rPr>
          <w:rFonts w:ascii="Times New Roman" w:hAnsi="Times New Roman"/>
          <w:sz w:val="24"/>
          <w:szCs w:val="24"/>
          <w:lang w:val="en-US"/>
        </w:rPr>
        <w:t xml:space="preserve"> </w:t>
      </w:r>
      <w:r w:rsidR="00F81842" w:rsidRPr="00F81842">
        <w:rPr>
          <w:rStyle w:val="hps"/>
          <w:rFonts w:ascii="Times New Roman" w:hAnsi="Times New Roman"/>
          <w:sz w:val="24"/>
          <w:szCs w:val="24"/>
          <w:lang w:val="en-US"/>
        </w:rPr>
        <w:t>(A),</w:t>
      </w:r>
      <w:r w:rsidR="00F81842" w:rsidRPr="00F81842">
        <w:rPr>
          <w:rFonts w:ascii="Times New Roman" w:hAnsi="Times New Roman"/>
          <w:sz w:val="24"/>
          <w:szCs w:val="24"/>
          <w:lang w:val="en-US"/>
        </w:rPr>
        <w:t xml:space="preserve"> </w:t>
      </w:r>
      <w:proofErr w:type="spellStart"/>
      <w:r w:rsidR="00F81842" w:rsidRPr="00F81842">
        <w:rPr>
          <w:rStyle w:val="hps"/>
          <w:rFonts w:ascii="Times New Roman" w:hAnsi="Times New Roman"/>
          <w:sz w:val="24"/>
          <w:szCs w:val="24"/>
          <w:lang w:val="en-US"/>
        </w:rPr>
        <w:t>Agreste</w:t>
      </w:r>
      <w:proofErr w:type="spellEnd"/>
      <w:r w:rsidR="00F81842" w:rsidRPr="00F81842">
        <w:rPr>
          <w:rFonts w:ascii="Times New Roman" w:hAnsi="Times New Roman"/>
          <w:sz w:val="24"/>
          <w:szCs w:val="24"/>
          <w:lang w:val="en-US"/>
        </w:rPr>
        <w:t xml:space="preserve"> </w:t>
      </w:r>
      <w:r w:rsidR="00F81842" w:rsidRPr="00F81842">
        <w:rPr>
          <w:rStyle w:val="hps"/>
          <w:rFonts w:ascii="Times New Roman" w:hAnsi="Times New Roman"/>
          <w:sz w:val="24"/>
          <w:szCs w:val="24"/>
          <w:lang w:val="en-US"/>
        </w:rPr>
        <w:t>(B),</w:t>
      </w:r>
      <w:r w:rsidR="00F81842" w:rsidRPr="00F81842">
        <w:rPr>
          <w:rFonts w:ascii="Times New Roman" w:hAnsi="Times New Roman"/>
          <w:sz w:val="24"/>
          <w:szCs w:val="24"/>
          <w:lang w:val="en-US"/>
        </w:rPr>
        <w:t xml:space="preserve"> </w:t>
      </w:r>
      <w:proofErr w:type="spellStart"/>
      <w:r w:rsidR="00F81842" w:rsidRPr="00F81842">
        <w:rPr>
          <w:rStyle w:val="hps"/>
          <w:rFonts w:ascii="Times New Roman" w:hAnsi="Times New Roman"/>
          <w:sz w:val="24"/>
          <w:szCs w:val="24"/>
          <w:lang w:val="en-US"/>
        </w:rPr>
        <w:t>Sertão</w:t>
      </w:r>
      <w:proofErr w:type="spellEnd"/>
      <w:r w:rsidR="00F81842" w:rsidRPr="00F81842">
        <w:rPr>
          <w:rFonts w:ascii="Times New Roman" w:hAnsi="Times New Roman"/>
          <w:sz w:val="24"/>
          <w:szCs w:val="24"/>
          <w:lang w:val="en-US"/>
        </w:rPr>
        <w:t xml:space="preserve"> </w:t>
      </w:r>
      <w:r w:rsidR="00F81842" w:rsidRPr="00F81842">
        <w:rPr>
          <w:rStyle w:val="hps"/>
          <w:rFonts w:ascii="Times New Roman" w:hAnsi="Times New Roman"/>
          <w:sz w:val="24"/>
          <w:szCs w:val="24"/>
          <w:lang w:val="en-US"/>
        </w:rPr>
        <w:t>(C) and</w:t>
      </w:r>
      <w:r w:rsidR="00F81842" w:rsidRPr="00F81842">
        <w:rPr>
          <w:rFonts w:ascii="Times New Roman" w:hAnsi="Times New Roman"/>
          <w:sz w:val="24"/>
          <w:szCs w:val="24"/>
          <w:lang w:val="en-US"/>
        </w:rPr>
        <w:t xml:space="preserve"> </w:t>
      </w:r>
      <w:proofErr w:type="spellStart"/>
      <w:r w:rsidR="00F81842" w:rsidRPr="00F81842">
        <w:rPr>
          <w:rStyle w:val="hps"/>
          <w:rFonts w:ascii="Times New Roman" w:hAnsi="Times New Roman"/>
          <w:sz w:val="24"/>
          <w:szCs w:val="24"/>
          <w:lang w:val="en-US"/>
        </w:rPr>
        <w:t>Sertão</w:t>
      </w:r>
      <w:proofErr w:type="spellEnd"/>
      <w:r w:rsidR="00F81842" w:rsidRPr="00F81842">
        <w:rPr>
          <w:rStyle w:val="hps"/>
          <w:rFonts w:ascii="Times New Roman" w:hAnsi="Times New Roman"/>
          <w:sz w:val="24"/>
          <w:szCs w:val="24"/>
          <w:lang w:val="en-US"/>
        </w:rPr>
        <w:t xml:space="preserve"> of</w:t>
      </w:r>
      <w:r w:rsidR="00F81842" w:rsidRPr="00F81842">
        <w:rPr>
          <w:rFonts w:ascii="Times New Roman" w:hAnsi="Times New Roman"/>
          <w:sz w:val="24"/>
          <w:szCs w:val="24"/>
          <w:lang w:val="en-US"/>
        </w:rPr>
        <w:t xml:space="preserve"> </w:t>
      </w:r>
      <w:r w:rsidR="00F81842" w:rsidRPr="00F81842">
        <w:rPr>
          <w:rStyle w:val="hps"/>
          <w:rFonts w:ascii="Times New Roman" w:hAnsi="Times New Roman"/>
          <w:sz w:val="24"/>
          <w:szCs w:val="24"/>
          <w:lang w:val="en-US"/>
        </w:rPr>
        <w:t>San Francisco (D)</w:t>
      </w:r>
      <w:r w:rsidR="00F81842">
        <w:rPr>
          <w:rStyle w:val="hps"/>
          <w:rFonts w:ascii="Times New Roman" w:hAnsi="Times New Roman"/>
          <w:sz w:val="24"/>
          <w:szCs w:val="24"/>
          <w:lang w:val="en-US"/>
        </w:rPr>
        <w:t>.</w:t>
      </w:r>
      <w:proofErr w:type="gramEnd"/>
    </w:p>
    <w:p w:rsidR="00A7143D" w:rsidRPr="00526AA2" w:rsidRDefault="006D0856" w:rsidP="00753FA3">
      <w:pPr>
        <w:spacing w:line="480" w:lineRule="auto"/>
        <w:ind w:right="-1"/>
        <w:jc w:val="both"/>
        <w:rPr>
          <w:rFonts w:ascii="Times New Roman" w:hAnsi="Times New Roman"/>
          <w:sz w:val="24"/>
          <w:szCs w:val="24"/>
          <w:lang w:eastAsia="pt-BR"/>
        </w:rPr>
      </w:pPr>
      <w:r w:rsidRPr="00F81842">
        <w:rPr>
          <w:rFonts w:ascii="Times New Roman" w:hAnsi="Times New Roman"/>
          <w:sz w:val="24"/>
          <w:szCs w:val="24"/>
          <w:lang w:val="en-US" w:eastAsia="pt-BR"/>
        </w:rPr>
        <w:tab/>
      </w:r>
      <w:r>
        <w:rPr>
          <w:rFonts w:ascii="Times New Roman" w:hAnsi="Times New Roman"/>
          <w:sz w:val="24"/>
          <w:szCs w:val="24"/>
          <w:lang w:eastAsia="pt-BR"/>
        </w:rPr>
        <w:t>A figura 4</w:t>
      </w:r>
      <w:r w:rsidRPr="00526AA2">
        <w:rPr>
          <w:rFonts w:ascii="Times New Roman" w:hAnsi="Times New Roman"/>
          <w:sz w:val="24"/>
          <w:szCs w:val="24"/>
          <w:lang w:eastAsia="pt-BR"/>
        </w:rPr>
        <w:t xml:space="preserve"> apresenta a distribuição espacial dos componentes do balanço hídrico climatológico para todo o Estado. A mesorregião da Zona da Mata apresentou as </w:t>
      </w:r>
      <w:r w:rsidRPr="00526AA2">
        <w:rPr>
          <w:rFonts w:ascii="Times New Roman" w:hAnsi="Times New Roman"/>
          <w:sz w:val="24"/>
          <w:szCs w:val="24"/>
          <w:lang w:eastAsia="pt-BR"/>
        </w:rPr>
        <w:lastRenderedPageBreak/>
        <w:t>melhores condições para o cultivo de sequeiro devido aos elevados índices pluviométricos com média de 2200 mm ano</w:t>
      </w:r>
      <w:r w:rsidRPr="00526AA2">
        <w:rPr>
          <w:rFonts w:ascii="Times New Roman" w:hAnsi="Times New Roman"/>
          <w:sz w:val="24"/>
          <w:szCs w:val="24"/>
          <w:vertAlign w:val="superscript"/>
          <w:lang w:eastAsia="pt-BR"/>
        </w:rPr>
        <w:t>-1</w:t>
      </w:r>
      <w:r>
        <w:rPr>
          <w:rFonts w:ascii="Times New Roman" w:hAnsi="Times New Roman"/>
          <w:sz w:val="24"/>
          <w:szCs w:val="24"/>
          <w:lang w:eastAsia="pt-BR"/>
        </w:rPr>
        <w:t xml:space="preserve"> (Figura 4A) e </w:t>
      </w:r>
      <w:proofErr w:type="spellStart"/>
      <w:proofErr w:type="gramStart"/>
      <w:r>
        <w:rPr>
          <w:rFonts w:ascii="Times New Roman" w:hAnsi="Times New Roman"/>
          <w:sz w:val="24"/>
          <w:szCs w:val="24"/>
          <w:lang w:eastAsia="pt-BR"/>
        </w:rPr>
        <w:t>ETp</w:t>
      </w:r>
      <w:proofErr w:type="spellEnd"/>
      <w:proofErr w:type="gramEnd"/>
      <w:r w:rsidRPr="00526AA2">
        <w:rPr>
          <w:rFonts w:ascii="Times New Roman" w:hAnsi="Times New Roman"/>
          <w:sz w:val="24"/>
          <w:szCs w:val="24"/>
          <w:lang w:eastAsia="pt-BR"/>
        </w:rPr>
        <w:t xml:space="preserve"> média de 1200 mm ano</w:t>
      </w:r>
      <w:r w:rsidRPr="00526AA2">
        <w:rPr>
          <w:rFonts w:ascii="Times New Roman" w:hAnsi="Times New Roman"/>
          <w:sz w:val="24"/>
          <w:szCs w:val="24"/>
          <w:vertAlign w:val="superscript"/>
          <w:lang w:eastAsia="pt-BR"/>
        </w:rPr>
        <w:t xml:space="preserve">-1 </w:t>
      </w:r>
      <w:r>
        <w:rPr>
          <w:rFonts w:ascii="Times New Roman" w:hAnsi="Times New Roman"/>
          <w:sz w:val="24"/>
          <w:szCs w:val="24"/>
          <w:lang w:eastAsia="pt-BR"/>
        </w:rPr>
        <w:t>(Figura 4</w:t>
      </w:r>
      <w:r w:rsidRPr="00526AA2">
        <w:rPr>
          <w:rFonts w:ascii="Times New Roman" w:hAnsi="Times New Roman"/>
          <w:sz w:val="24"/>
          <w:szCs w:val="24"/>
          <w:lang w:eastAsia="pt-BR"/>
        </w:rPr>
        <w:t>B) sendo representativos para culturas como a cana</w:t>
      </w:r>
      <w:r>
        <w:rPr>
          <w:rFonts w:ascii="Times New Roman" w:hAnsi="Times New Roman"/>
          <w:sz w:val="24"/>
          <w:szCs w:val="24"/>
          <w:lang w:eastAsia="pt-BR"/>
        </w:rPr>
        <w:t xml:space="preserve"> de açúcar em que segundo M</w:t>
      </w:r>
      <w:r w:rsidR="003017D0" w:rsidRPr="00526AA2">
        <w:rPr>
          <w:rFonts w:ascii="Times New Roman" w:hAnsi="Times New Roman"/>
          <w:sz w:val="24"/>
          <w:szCs w:val="24"/>
          <w:lang w:eastAsia="pt-BR"/>
        </w:rPr>
        <w:t>O</w:t>
      </w:r>
      <w:r w:rsidR="003017D0">
        <w:rPr>
          <w:rFonts w:ascii="Times New Roman" w:hAnsi="Times New Roman"/>
          <w:sz w:val="24"/>
          <w:szCs w:val="24"/>
          <w:lang w:eastAsia="pt-BR"/>
        </w:rPr>
        <w:t>NTEIRO</w:t>
      </w:r>
      <w:r w:rsidRPr="00526AA2">
        <w:rPr>
          <w:rFonts w:ascii="Times New Roman" w:hAnsi="Times New Roman"/>
          <w:sz w:val="24"/>
          <w:szCs w:val="24"/>
          <w:lang w:eastAsia="pt-BR"/>
        </w:rPr>
        <w:t xml:space="preserve"> (2009), o perfilhamento e desenvolvimento da mesma corresponde às condições de temperatura e precipitação elevadas. A mesorregião do Agreste apresentou valores de precipitação em média de 1500 mm ano</w:t>
      </w:r>
      <w:r w:rsidRPr="00526AA2">
        <w:rPr>
          <w:rFonts w:ascii="Times New Roman" w:hAnsi="Times New Roman"/>
          <w:sz w:val="24"/>
          <w:szCs w:val="24"/>
          <w:vertAlign w:val="superscript"/>
          <w:lang w:eastAsia="pt-BR"/>
        </w:rPr>
        <w:t>-1</w:t>
      </w:r>
      <w:r w:rsidRPr="00526AA2">
        <w:rPr>
          <w:rFonts w:ascii="Times New Roman" w:hAnsi="Times New Roman"/>
          <w:sz w:val="24"/>
          <w:szCs w:val="24"/>
          <w:lang w:eastAsia="pt-BR"/>
        </w:rPr>
        <w:t xml:space="preserve"> </w:t>
      </w:r>
      <w:r>
        <w:rPr>
          <w:rFonts w:ascii="Times New Roman" w:hAnsi="Times New Roman"/>
          <w:sz w:val="24"/>
          <w:szCs w:val="24"/>
          <w:lang w:eastAsia="pt-BR"/>
        </w:rPr>
        <w:t>(Figura 4</w:t>
      </w:r>
      <w:r w:rsidRPr="00526AA2">
        <w:rPr>
          <w:rFonts w:ascii="Times New Roman" w:hAnsi="Times New Roman"/>
          <w:sz w:val="24"/>
          <w:szCs w:val="24"/>
          <w:lang w:eastAsia="pt-BR"/>
        </w:rPr>
        <w:t>A)</w:t>
      </w:r>
      <w:r>
        <w:rPr>
          <w:rFonts w:ascii="Times New Roman" w:hAnsi="Times New Roman"/>
          <w:sz w:val="24"/>
          <w:szCs w:val="24"/>
          <w:lang w:eastAsia="pt-BR"/>
        </w:rPr>
        <w:t xml:space="preserve">, </w:t>
      </w:r>
      <w:r w:rsidRPr="00526AA2">
        <w:rPr>
          <w:rFonts w:ascii="Times New Roman" w:hAnsi="Times New Roman"/>
          <w:sz w:val="24"/>
          <w:szCs w:val="24"/>
          <w:lang w:eastAsia="pt-BR"/>
        </w:rPr>
        <w:t>evapotranspiração potencial</w:t>
      </w:r>
      <w:r>
        <w:rPr>
          <w:rFonts w:ascii="Times New Roman" w:hAnsi="Times New Roman"/>
          <w:sz w:val="24"/>
          <w:szCs w:val="24"/>
          <w:lang w:eastAsia="pt-BR"/>
        </w:rPr>
        <w:t xml:space="preserve"> (Figura 4</w:t>
      </w:r>
      <w:r w:rsidRPr="00526AA2">
        <w:rPr>
          <w:rFonts w:ascii="Times New Roman" w:hAnsi="Times New Roman"/>
          <w:sz w:val="24"/>
          <w:szCs w:val="24"/>
          <w:lang w:eastAsia="pt-BR"/>
        </w:rPr>
        <w:t>B) em média 1050 mm ano</w:t>
      </w:r>
      <w:r w:rsidRPr="00526AA2">
        <w:rPr>
          <w:rFonts w:ascii="Times New Roman" w:hAnsi="Times New Roman"/>
          <w:sz w:val="24"/>
          <w:szCs w:val="24"/>
          <w:vertAlign w:val="superscript"/>
          <w:lang w:eastAsia="pt-BR"/>
        </w:rPr>
        <w:t>-1</w:t>
      </w:r>
      <w:r>
        <w:rPr>
          <w:rFonts w:ascii="Times New Roman" w:hAnsi="Times New Roman"/>
          <w:sz w:val="24"/>
          <w:szCs w:val="24"/>
          <w:lang w:eastAsia="pt-BR"/>
        </w:rPr>
        <w:t>,</w:t>
      </w:r>
      <w:proofErr w:type="gramStart"/>
      <w:r>
        <w:rPr>
          <w:rFonts w:ascii="Times New Roman" w:hAnsi="Times New Roman"/>
          <w:sz w:val="24"/>
          <w:szCs w:val="24"/>
          <w:lang w:eastAsia="pt-BR"/>
        </w:rPr>
        <w:t xml:space="preserve"> </w:t>
      </w:r>
      <w:r w:rsidRPr="00526AA2">
        <w:rPr>
          <w:rFonts w:ascii="Times New Roman" w:hAnsi="Times New Roman"/>
          <w:sz w:val="24"/>
          <w:szCs w:val="24"/>
          <w:lang w:eastAsia="pt-BR"/>
        </w:rPr>
        <w:t xml:space="preserve"> </w:t>
      </w:r>
      <w:proofErr w:type="gramEnd"/>
      <w:r w:rsidRPr="00526AA2">
        <w:rPr>
          <w:rFonts w:ascii="Times New Roman" w:hAnsi="Times New Roman"/>
          <w:sz w:val="24"/>
          <w:szCs w:val="24"/>
          <w:lang w:eastAsia="pt-BR"/>
        </w:rPr>
        <w:t>evapotran</w:t>
      </w:r>
      <w:r>
        <w:rPr>
          <w:rFonts w:ascii="Times New Roman" w:hAnsi="Times New Roman"/>
          <w:sz w:val="24"/>
          <w:szCs w:val="24"/>
          <w:lang w:eastAsia="pt-BR"/>
        </w:rPr>
        <w:t>s</w:t>
      </w:r>
      <w:r w:rsidRPr="00526AA2">
        <w:rPr>
          <w:rFonts w:ascii="Times New Roman" w:hAnsi="Times New Roman"/>
          <w:sz w:val="24"/>
          <w:szCs w:val="24"/>
          <w:lang w:eastAsia="pt-BR"/>
        </w:rPr>
        <w:t>piração relativa de 0,7 mm ano</w:t>
      </w:r>
      <w:r w:rsidRPr="00526AA2">
        <w:rPr>
          <w:rFonts w:ascii="Times New Roman" w:hAnsi="Times New Roman"/>
          <w:sz w:val="24"/>
          <w:szCs w:val="24"/>
          <w:vertAlign w:val="superscript"/>
          <w:lang w:eastAsia="pt-BR"/>
        </w:rPr>
        <w:t>-1</w:t>
      </w:r>
      <w:r w:rsidRPr="00526AA2">
        <w:rPr>
          <w:rFonts w:ascii="Times New Roman" w:hAnsi="Times New Roman"/>
          <w:sz w:val="24"/>
          <w:szCs w:val="24"/>
          <w:lang w:eastAsia="pt-BR"/>
        </w:rPr>
        <w:t>,</w:t>
      </w:r>
      <w:r w:rsidR="00C057E0">
        <w:rPr>
          <w:rFonts w:ascii="Times New Roman" w:hAnsi="Times New Roman"/>
          <w:sz w:val="24"/>
          <w:szCs w:val="24"/>
          <w:lang w:eastAsia="pt-BR"/>
        </w:rPr>
        <w:t xml:space="preserve"> </w:t>
      </w:r>
      <w:r>
        <w:rPr>
          <w:rFonts w:ascii="Times New Roman" w:hAnsi="Times New Roman"/>
          <w:sz w:val="24"/>
          <w:szCs w:val="24"/>
          <w:lang w:eastAsia="pt-BR"/>
        </w:rPr>
        <w:t>(Figura 4</w:t>
      </w:r>
      <w:r w:rsidRPr="00526AA2">
        <w:rPr>
          <w:rFonts w:ascii="Times New Roman" w:hAnsi="Times New Roman"/>
          <w:sz w:val="24"/>
          <w:szCs w:val="24"/>
          <w:lang w:eastAsia="pt-BR"/>
        </w:rPr>
        <w:t>C) ideal para culturas temporárias como a cenou</w:t>
      </w:r>
      <w:r>
        <w:rPr>
          <w:rFonts w:ascii="Times New Roman" w:hAnsi="Times New Roman"/>
          <w:sz w:val="24"/>
          <w:szCs w:val="24"/>
          <w:lang w:eastAsia="pt-BR"/>
        </w:rPr>
        <w:t>ra em que segundo S</w:t>
      </w:r>
      <w:r w:rsidR="003017D0">
        <w:rPr>
          <w:rFonts w:ascii="Times New Roman" w:hAnsi="Times New Roman"/>
          <w:sz w:val="24"/>
          <w:szCs w:val="24"/>
          <w:lang w:eastAsia="pt-BR"/>
        </w:rPr>
        <w:t>ANTOS</w:t>
      </w:r>
      <w:r>
        <w:rPr>
          <w:rFonts w:ascii="Times New Roman" w:hAnsi="Times New Roman"/>
          <w:sz w:val="24"/>
          <w:szCs w:val="24"/>
          <w:lang w:eastAsia="pt-BR"/>
        </w:rPr>
        <w:t xml:space="preserve"> </w:t>
      </w:r>
      <w:proofErr w:type="spellStart"/>
      <w:r>
        <w:rPr>
          <w:rFonts w:ascii="Times New Roman" w:hAnsi="Times New Roman"/>
          <w:sz w:val="24"/>
          <w:szCs w:val="24"/>
          <w:lang w:eastAsia="pt-BR"/>
        </w:rPr>
        <w:t>et</w:t>
      </w:r>
      <w:proofErr w:type="spellEnd"/>
      <w:r>
        <w:rPr>
          <w:rFonts w:ascii="Times New Roman" w:hAnsi="Times New Roman"/>
          <w:sz w:val="24"/>
          <w:szCs w:val="24"/>
          <w:lang w:eastAsia="pt-BR"/>
        </w:rPr>
        <w:t xml:space="preserve"> al.</w:t>
      </w:r>
      <w:r w:rsidRPr="00526AA2">
        <w:rPr>
          <w:rFonts w:ascii="Times New Roman" w:hAnsi="Times New Roman"/>
          <w:sz w:val="24"/>
          <w:szCs w:val="24"/>
          <w:lang w:eastAsia="pt-BR"/>
        </w:rPr>
        <w:t xml:space="preserve"> (2009) o consumo da cultura para região é de aproximadamente 800 mm</w:t>
      </w:r>
      <w:r>
        <w:rPr>
          <w:rFonts w:ascii="Times New Roman" w:hAnsi="Times New Roman"/>
          <w:sz w:val="24"/>
          <w:szCs w:val="24"/>
          <w:lang w:eastAsia="pt-BR"/>
        </w:rPr>
        <w:t xml:space="preserve"> ano</w:t>
      </w:r>
      <w:r w:rsidRPr="00740810">
        <w:rPr>
          <w:rFonts w:ascii="Times New Roman" w:hAnsi="Times New Roman"/>
          <w:sz w:val="24"/>
          <w:szCs w:val="24"/>
          <w:vertAlign w:val="superscript"/>
          <w:lang w:eastAsia="pt-BR"/>
        </w:rPr>
        <w:t>-1</w:t>
      </w:r>
      <w:r w:rsidRPr="00526AA2">
        <w:rPr>
          <w:rFonts w:ascii="Times New Roman" w:hAnsi="Times New Roman"/>
          <w:sz w:val="24"/>
          <w:szCs w:val="24"/>
          <w:lang w:eastAsia="pt-BR"/>
        </w:rPr>
        <w:t xml:space="preserve"> em condições de irrigação plena. As Mesorregiões do Sertão e Sertão do São Francisco apresentaram deficiência hídrica de 550 e 750 mm ano</w:t>
      </w:r>
      <w:r w:rsidRPr="00526AA2">
        <w:rPr>
          <w:rFonts w:ascii="Times New Roman" w:hAnsi="Times New Roman"/>
          <w:sz w:val="24"/>
          <w:szCs w:val="24"/>
          <w:vertAlign w:val="superscript"/>
          <w:lang w:eastAsia="pt-BR"/>
        </w:rPr>
        <w:t>-1</w:t>
      </w:r>
      <w:r>
        <w:rPr>
          <w:rFonts w:ascii="Times New Roman" w:hAnsi="Times New Roman"/>
          <w:sz w:val="24"/>
          <w:szCs w:val="24"/>
          <w:lang w:eastAsia="pt-BR"/>
        </w:rPr>
        <w:t>, (Figura 4</w:t>
      </w:r>
      <w:r w:rsidRPr="00526AA2">
        <w:rPr>
          <w:rFonts w:ascii="Times New Roman" w:hAnsi="Times New Roman"/>
          <w:sz w:val="24"/>
          <w:szCs w:val="24"/>
          <w:lang w:eastAsia="pt-BR"/>
        </w:rPr>
        <w:t>E)</w:t>
      </w:r>
      <w:r w:rsidRPr="00526AA2">
        <w:rPr>
          <w:rFonts w:ascii="Times New Roman" w:hAnsi="Times New Roman"/>
          <w:sz w:val="24"/>
          <w:szCs w:val="24"/>
          <w:vertAlign w:val="superscript"/>
          <w:lang w:eastAsia="pt-BR"/>
        </w:rPr>
        <w:t xml:space="preserve"> </w:t>
      </w:r>
      <w:r w:rsidRPr="00526AA2">
        <w:rPr>
          <w:rFonts w:ascii="Times New Roman" w:hAnsi="Times New Roman"/>
          <w:sz w:val="24"/>
          <w:szCs w:val="24"/>
          <w:lang w:eastAsia="pt-BR"/>
        </w:rPr>
        <w:t>respectivamente e excedente hídrico de 130 e 100 mm ano</w:t>
      </w:r>
      <w:r w:rsidRPr="00526AA2">
        <w:rPr>
          <w:rFonts w:ascii="Times New Roman" w:hAnsi="Times New Roman"/>
          <w:sz w:val="24"/>
          <w:szCs w:val="24"/>
          <w:vertAlign w:val="superscript"/>
          <w:lang w:eastAsia="pt-BR"/>
        </w:rPr>
        <w:t>-1</w:t>
      </w:r>
      <w:r w:rsidRPr="00526AA2">
        <w:rPr>
          <w:rFonts w:ascii="Times New Roman" w:hAnsi="Times New Roman"/>
          <w:sz w:val="24"/>
          <w:szCs w:val="24"/>
          <w:lang w:eastAsia="pt-BR"/>
        </w:rPr>
        <w:t>, culturas anuais como a videira (</w:t>
      </w:r>
      <w:proofErr w:type="spellStart"/>
      <w:r w:rsidRPr="00526AA2">
        <w:rPr>
          <w:rFonts w:ascii="Times New Roman" w:hAnsi="Times New Roman"/>
          <w:i/>
          <w:sz w:val="24"/>
          <w:szCs w:val="24"/>
          <w:lang w:eastAsia="pt-BR"/>
        </w:rPr>
        <w:t>Vitis</w:t>
      </w:r>
      <w:proofErr w:type="spellEnd"/>
      <w:r w:rsidRPr="00526AA2">
        <w:rPr>
          <w:rFonts w:ascii="Times New Roman" w:hAnsi="Times New Roman"/>
          <w:sz w:val="24"/>
          <w:szCs w:val="24"/>
          <w:lang w:eastAsia="pt-BR"/>
        </w:rPr>
        <w:t>) segundo M</w:t>
      </w:r>
      <w:r w:rsidR="003017D0" w:rsidRPr="00526AA2">
        <w:rPr>
          <w:rFonts w:ascii="Times New Roman" w:hAnsi="Times New Roman"/>
          <w:sz w:val="24"/>
          <w:szCs w:val="24"/>
          <w:lang w:eastAsia="pt-BR"/>
        </w:rPr>
        <w:t>ONTEIRO</w:t>
      </w:r>
      <w:r w:rsidRPr="00526AA2">
        <w:rPr>
          <w:rFonts w:ascii="Times New Roman" w:hAnsi="Times New Roman"/>
          <w:sz w:val="24"/>
          <w:szCs w:val="24"/>
          <w:lang w:eastAsia="pt-BR"/>
        </w:rPr>
        <w:t xml:space="preserve"> (2009) devem ter um suprimento hídrico na fase de formação das bagas e um período de maturação em condições de baixa pluviosidade</w:t>
      </w:r>
      <w:r>
        <w:rPr>
          <w:rFonts w:ascii="Times New Roman" w:hAnsi="Times New Roman"/>
          <w:sz w:val="24"/>
          <w:szCs w:val="24"/>
          <w:lang w:eastAsia="pt-BR"/>
        </w:rPr>
        <w:t>,</w:t>
      </w:r>
      <w:r w:rsidRPr="00526AA2">
        <w:rPr>
          <w:rFonts w:ascii="Times New Roman" w:hAnsi="Times New Roman"/>
          <w:sz w:val="24"/>
          <w:szCs w:val="24"/>
          <w:lang w:eastAsia="pt-BR"/>
        </w:rPr>
        <w:t xml:space="preserve"> temperaturas elevadas devendo-se considerar um planejamento agrícola necessário para o favorecimento desta cultura nos Sertões pernambucano. </w:t>
      </w:r>
      <w:r w:rsidR="00E354FE">
        <w:rPr>
          <w:rFonts w:ascii="Times New Roman" w:hAnsi="Times New Roman"/>
          <w:noProof/>
          <w:sz w:val="24"/>
          <w:szCs w:val="24"/>
          <w:lang w:eastAsia="pt-BR"/>
        </w:rPr>
        <w:drawing>
          <wp:inline distT="0" distB="0" distL="0" distR="0">
            <wp:extent cx="5448300" cy="3168364"/>
            <wp:effectExtent l="19050" t="0" r="0" b="0"/>
            <wp:docPr id="6" name="Imagem 5" descr="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15" cstate="print"/>
                    <a:stretch>
                      <a:fillRect/>
                    </a:stretch>
                  </pic:blipFill>
                  <pic:spPr>
                    <a:xfrm>
                      <a:off x="0" y="0"/>
                      <a:ext cx="5448300" cy="3168364"/>
                    </a:xfrm>
                    <a:prstGeom prst="rect">
                      <a:avLst/>
                    </a:prstGeom>
                  </pic:spPr>
                </pic:pic>
              </a:graphicData>
            </a:graphic>
          </wp:inline>
        </w:drawing>
      </w:r>
    </w:p>
    <w:p w:rsidR="006D0856" w:rsidRPr="00F81842" w:rsidRDefault="006D0856" w:rsidP="00753FA3">
      <w:pPr>
        <w:autoSpaceDE w:val="0"/>
        <w:autoSpaceDN w:val="0"/>
        <w:adjustRightInd w:val="0"/>
        <w:spacing w:after="0" w:line="480" w:lineRule="auto"/>
        <w:ind w:right="-1"/>
        <w:jc w:val="both"/>
        <w:rPr>
          <w:rFonts w:ascii="Times New Roman" w:hAnsi="Times New Roman"/>
          <w:sz w:val="24"/>
          <w:szCs w:val="24"/>
          <w:lang w:val="en-US"/>
        </w:rPr>
      </w:pPr>
      <w:proofErr w:type="gramStart"/>
      <w:r w:rsidRPr="001358F5">
        <w:rPr>
          <w:rFonts w:ascii="Times New Roman" w:hAnsi="Times New Roman"/>
          <w:b/>
          <w:sz w:val="24"/>
          <w:szCs w:val="24"/>
          <w:lang w:val="en-US"/>
        </w:rPr>
        <w:lastRenderedPageBreak/>
        <w:t>Figur</w:t>
      </w:r>
      <w:r w:rsidR="00F81842" w:rsidRPr="001358F5">
        <w:rPr>
          <w:rFonts w:ascii="Times New Roman" w:hAnsi="Times New Roman"/>
          <w:b/>
          <w:sz w:val="24"/>
          <w:szCs w:val="24"/>
          <w:lang w:val="en-US"/>
        </w:rPr>
        <w:t>e</w:t>
      </w:r>
      <w:r w:rsidRPr="001358F5">
        <w:rPr>
          <w:rFonts w:ascii="Times New Roman" w:hAnsi="Times New Roman"/>
          <w:b/>
          <w:sz w:val="24"/>
          <w:szCs w:val="24"/>
          <w:lang w:val="en-US"/>
        </w:rPr>
        <w:t xml:space="preserve"> 4</w:t>
      </w:r>
      <w:r w:rsidRPr="001358F5">
        <w:rPr>
          <w:rFonts w:ascii="Times New Roman" w:hAnsi="Times New Roman"/>
          <w:sz w:val="24"/>
          <w:szCs w:val="24"/>
          <w:lang w:val="en-US"/>
        </w:rPr>
        <w:t>.</w:t>
      </w:r>
      <w:proofErr w:type="gramEnd"/>
      <w:r w:rsidRPr="001358F5">
        <w:rPr>
          <w:rFonts w:ascii="Times New Roman" w:hAnsi="Times New Roman"/>
          <w:sz w:val="24"/>
          <w:szCs w:val="24"/>
          <w:lang w:val="en-US"/>
        </w:rPr>
        <w:t xml:space="preserve"> </w:t>
      </w:r>
      <w:r w:rsidR="00F81842" w:rsidRPr="00F81842">
        <w:rPr>
          <w:rStyle w:val="hps"/>
          <w:rFonts w:ascii="Times New Roman" w:hAnsi="Times New Roman"/>
          <w:sz w:val="24"/>
          <w:szCs w:val="24"/>
          <w:lang w:val="en-US"/>
        </w:rPr>
        <w:t>Spatial distributions</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of annual precipitation</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in Pernambuco (</w:t>
      </w:r>
      <w:r w:rsidR="00F81842" w:rsidRPr="00F81842">
        <w:rPr>
          <w:rStyle w:val="longtext"/>
          <w:rFonts w:ascii="Times New Roman" w:hAnsi="Times New Roman"/>
          <w:sz w:val="24"/>
          <w:szCs w:val="24"/>
          <w:lang w:val="en-US"/>
        </w:rPr>
        <w:t xml:space="preserve">A) </w:t>
      </w:r>
      <w:r w:rsidR="00F81842" w:rsidRPr="00F81842">
        <w:rPr>
          <w:rStyle w:val="hps"/>
          <w:rFonts w:ascii="Times New Roman" w:hAnsi="Times New Roman"/>
          <w:sz w:val="24"/>
          <w:szCs w:val="24"/>
          <w:lang w:val="en-US"/>
        </w:rPr>
        <w:t>Potential evapotranspiration</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w:t>
      </w:r>
      <w:r w:rsidR="00F81842" w:rsidRPr="00F81842">
        <w:rPr>
          <w:rStyle w:val="longtext"/>
          <w:rFonts w:ascii="Times New Roman" w:hAnsi="Times New Roman"/>
          <w:sz w:val="24"/>
          <w:szCs w:val="24"/>
          <w:lang w:val="en-US"/>
        </w:rPr>
        <w:t xml:space="preserve">B) </w:t>
      </w:r>
      <w:r w:rsidR="00F81842" w:rsidRPr="00F81842">
        <w:rPr>
          <w:rStyle w:val="hps"/>
          <w:rFonts w:ascii="Times New Roman" w:hAnsi="Times New Roman"/>
          <w:sz w:val="24"/>
          <w:szCs w:val="24"/>
          <w:lang w:val="en-US"/>
        </w:rPr>
        <w:t>real evapotranspiration</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(C),</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water availability (</w:t>
      </w:r>
      <w:r w:rsidR="00E354FE">
        <w:rPr>
          <w:rStyle w:val="hps"/>
          <w:rFonts w:ascii="Times New Roman" w:hAnsi="Times New Roman"/>
          <w:sz w:val="24"/>
          <w:szCs w:val="24"/>
          <w:lang w:val="en-US"/>
        </w:rPr>
        <w:t>R</w:t>
      </w:r>
      <w:r w:rsidR="00F81842" w:rsidRPr="00F81842">
        <w:rPr>
          <w:rStyle w:val="longtext"/>
          <w:rFonts w:ascii="Times New Roman" w:hAnsi="Times New Roman"/>
          <w:sz w:val="24"/>
          <w:szCs w:val="24"/>
          <w:lang w:val="en-US"/>
        </w:rPr>
        <w:t xml:space="preserve">ET </w:t>
      </w:r>
      <w:r w:rsidR="00F81842" w:rsidRPr="00F81842">
        <w:rPr>
          <w:rStyle w:val="hps"/>
          <w:rFonts w:ascii="Times New Roman" w:hAnsi="Times New Roman"/>
          <w:sz w:val="24"/>
          <w:szCs w:val="24"/>
          <w:lang w:val="en-US"/>
        </w:rPr>
        <w:t xml:space="preserve">/ </w:t>
      </w:r>
      <w:r w:rsidR="00E354FE">
        <w:rPr>
          <w:rStyle w:val="hps"/>
          <w:rFonts w:ascii="Times New Roman" w:hAnsi="Times New Roman"/>
          <w:sz w:val="24"/>
          <w:szCs w:val="24"/>
          <w:lang w:val="en-US"/>
        </w:rPr>
        <w:t>P</w:t>
      </w:r>
      <w:r w:rsidR="00F81842" w:rsidRPr="00F81842">
        <w:rPr>
          <w:rStyle w:val="hps"/>
          <w:rFonts w:ascii="Times New Roman" w:hAnsi="Times New Roman"/>
          <w:sz w:val="24"/>
          <w:szCs w:val="24"/>
          <w:lang w:val="en-US"/>
        </w:rPr>
        <w:t>ET</w:t>
      </w:r>
      <w:r w:rsidR="00F81842" w:rsidRPr="00F81842">
        <w:rPr>
          <w:rStyle w:val="atn"/>
          <w:rFonts w:ascii="Times New Roman" w:hAnsi="Times New Roman"/>
          <w:sz w:val="24"/>
          <w:szCs w:val="24"/>
          <w:lang w:val="en-US"/>
        </w:rPr>
        <w:t>) (</w:t>
      </w:r>
      <w:r w:rsidR="00F81842" w:rsidRPr="00F81842">
        <w:rPr>
          <w:rStyle w:val="longtext"/>
          <w:rFonts w:ascii="Times New Roman" w:hAnsi="Times New Roman"/>
          <w:sz w:val="24"/>
          <w:szCs w:val="24"/>
          <w:lang w:val="en-US"/>
        </w:rPr>
        <w:t xml:space="preserve">D), </w:t>
      </w:r>
      <w:r w:rsidR="00F81842" w:rsidRPr="00F81842">
        <w:rPr>
          <w:rStyle w:val="hps"/>
          <w:rFonts w:ascii="Times New Roman" w:hAnsi="Times New Roman"/>
          <w:sz w:val="24"/>
          <w:szCs w:val="24"/>
          <w:lang w:val="en-US"/>
        </w:rPr>
        <w:t>water</w:t>
      </w:r>
      <w:r w:rsidR="00E354FE">
        <w:rPr>
          <w:rStyle w:val="hps"/>
          <w:rFonts w:ascii="Times New Roman" w:hAnsi="Times New Roman"/>
          <w:sz w:val="24"/>
          <w:szCs w:val="24"/>
          <w:lang w:val="en-US"/>
        </w:rPr>
        <w:t xml:space="preserve"> surplus</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(E</w:t>
      </w:r>
      <w:r w:rsidR="00F81842" w:rsidRPr="00F81842">
        <w:rPr>
          <w:rStyle w:val="longtext"/>
          <w:rFonts w:ascii="Times New Roman" w:hAnsi="Times New Roman"/>
          <w:sz w:val="24"/>
          <w:szCs w:val="24"/>
          <w:lang w:val="en-US"/>
        </w:rPr>
        <w:t xml:space="preserve">) and </w:t>
      </w:r>
      <w:r w:rsidR="00F81842" w:rsidRPr="00F81842">
        <w:rPr>
          <w:rStyle w:val="hps"/>
          <w:rFonts w:ascii="Times New Roman" w:hAnsi="Times New Roman"/>
          <w:sz w:val="24"/>
          <w:szCs w:val="24"/>
          <w:lang w:val="en-US"/>
        </w:rPr>
        <w:t>water</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deficit</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w:t>
      </w:r>
      <w:r w:rsidR="00F81842" w:rsidRPr="00F81842">
        <w:rPr>
          <w:rStyle w:val="longtext"/>
          <w:rFonts w:ascii="Times New Roman" w:hAnsi="Times New Roman"/>
          <w:sz w:val="24"/>
          <w:szCs w:val="24"/>
          <w:lang w:val="en-US"/>
        </w:rPr>
        <w:t xml:space="preserve">F) </w:t>
      </w:r>
      <w:r w:rsidR="00F81842" w:rsidRPr="00F81842">
        <w:rPr>
          <w:rStyle w:val="hps"/>
          <w:rFonts w:ascii="Times New Roman" w:hAnsi="Times New Roman"/>
          <w:sz w:val="24"/>
          <w:szCs w:val="24"/>
          <w:lang w:val="en-US"/>
        </w:rPr>
        <w:t>obtained by</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wet</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years</w:t>
      </w:r>
      <w:r w:rsidR="00F81842" w:rsidRPr="00F81842">
        <w:rPr>
          <w:rStyle w:val="longtext"/>
          <w:rFonts w:ascii="Times New Roman" w:hAnsi="Times New Roman"/>
          <w:sz w:val="24"/>
          <w:szCs w:val="24"/>
          <w:lang w:val="en-US"/>
        </w:rPr>
        <w:t xml:space="preserve"> </w:t>
      </w:r>
      <w:r w:rsidR="00F81842" w:rsidRPr="00F81842">
        <w:rPr>
          <w:rStyle w:val="hps"/>
          <w:rFonts w:ascii="Times New Roman" w:hAnsi="Times New Roman"/>
          <w:sz w:val="24"/>
          <w:szCs w:val="24"/>
          <w:lang w:val="en-US"/>
        </w:rPr>
        <w:t>using</w:t>
      </w:r>
      <w:r w:rsidR="00F81842" w:rsidRPr="00F81842">
        <w:rPr>
          <w:rStyle w:val="longtext"/>
          <w:rFonts w:ascii="Times New Roman" w:hAnsi="Times New Roman"/>
          <w:sz w:val="24"/>
          <w:szCs w:val="24"/>
          <w:lang w:val="en-US"/>
        </w:rPr>
        <w:t xml:space="preserve"> </w:t>
      </w:r>
      <w:proofErr w:type="spellStart"/>
      <w:r w:rsidR="00F81842" w:rsidRPr="00F81842">
        <w:rPr>
          <w:rStyle w:val="hps"/>
          <w:rFonts w:ascii="Times New Roman" w:hAnsi="Times New Roman"/>
          <w:sz w:val="24"/>
          <w:szCs w:val="24"/>
          <w:lang w:val="en-US"/>
        </w:rPr>
        <w:t>kriging</w:t>
      </w:r>
      <w:proofErr w:type="spellEnd"/>
      <w:r w:rsidR="00F81842" w:rsidRPr="00F81842">
        <w:rPr>
          <w:rStyle w:val="hps"/>
          <w:rFonts w:ascii="Times New Roman" w:hAnsi="Times New Roman"/>
          <w:sz w:val="24"/>
          <w:szCs w:val="24"/>
          <w:lang w:val="en-US"/>
        </w:rPr>
        <w:t>.</w:t>
      </w:r>
    </w:p>
    <w:p w:rsidR="006D0856" w:rsidRPr="00F81842" w:rsidRDefault="006D0856" w:rsidP="00753FA3">
      <w:pPr>
        <w:autoSpaceDE w:val="0"/>
        <w:autoSpaceDN w:val="0"/>
        <w:adjustRightInd w:val="0"/>
        <w:spacing w:after="0" w:line="480" w:lineRule="auto"/>
        <w:ind w:right="-1"/>
        <w:jc w:val="both"/>
        <w:rPr>
          <w:rFonts w:ascii="Times New Roman" w:hAnsi="Times New Roman"/>
          <w:sz w:val="24"/>
          <w:szCs w:val="24"/>
          <w:lang w:val="en-US"/>
        </w:rPr>
      </w:pPr>
    </w:p>
    <w:p w:rsidR="006D0856" w:rsidRPr="00526AA2" w:rsidRDefault="006D0856" w:rsidP="00753FA3">
      <w:pPr>
        <w:spacing w:line="480" w:lineRule="auto"/>
        <w:ind w:right="-1"/>
        <w:rPr>
          <w:rFonts w:ascii="Times New Roman" w:hAnsi="Times New Roman"/>
          <w:b/>
          <w:noProof/>
          <w:sz w:val="24"/>
          <w:szCs w:val="24"/>
          <w:lang w:eastAsia="pt-BR"/>
        </w:rPr>
      </w:pPr>
      <w:r w:rsidRPr="00526AA2">
        <w:rPr>
          <w:rFonts w:ascii="Times New Roman" w:hAnsi="Times New Roman"/>
          <w:b/>
          <w:noProof/>
          <w:sz w:val="24"/>
          <w:szCs w:val="24"/>
          <w:lang w:eastAsia="pt-BR"/>
        </w:rPr>
        <w:t>Anos Regulares</w:t>
      </w:r>
    </w:p>
    <w:p w:rsidR="006D0856" w:rsidRPr="00526AA2" w:rsidRDefault="00026642" w:rsidP="00753FA3">
      <w:pPr>
        <w:spacing w:line="480" w:lineRule="auto"/>
        <w:ind w:right="-1"/>
        <w:jc w:val="both"/>
        <w:rPr>
          <w:rFonts w:ascii="Times New Roman" w:hAnsi="Times New Roman"/>
          <w:noProof/>
          <w:sz w:val="24"/>
          <w:szCs w:val="24"/>
          <w:lang w:eastAsia="pt-BR"/>
        </w:rPr>
      </w:pPr>
      <w:r>
        <w:rPr>
          <w:rFonts w:ascii="Times New Roman" w:hAnsi="Times New Roman"/>
          <w:noProof/>
          <w:sz w:val="24"/>
          <w:szCs w:val="24"/>
          <w:lang w:eastAsia="pt-BR"/>
        </w:rPr>
        <w:pict>
          <v:shape id="_x0000_s1035" type="#_x0000_t202" style="position:absolute;left:0;text-align:left;margin-left:204.05pt;margin-top:165.95pt;width:26.05pt;height:24.35pt;z-index:251670528;mso-width-relative:margin;mso-height-relative:margin" stroked="f">
            <v:fill opacity="0"/>
            <v:textbox style="mso-next-textbox:#_x0000_s1035">
              <w:txbxContent>
                <w:p w:rsidR="006D0856" w:rsidRPr="004278F2" w:rsidRDefault="006D0856" w:rsidP="006D0856">
                  <w:pPr>
                    <w:rPr>
                      <w:rFonts w:ascii="Times New Roman" w:hAnsi="Times New Roman"/>
                    </w:rPr>
                  </w:pPr>
                  <w:r>
                    <w:rPr>
                      <w:rFonts w:ascii="Times New Roman" w:hAnsi="Times New Roman"/>
                    </w:rPr>
                    <w:t>B.</w:t>
                  </w:r>
                </w:p>
              </w:txbxContent>
            </v:textbox>
          </v:shape>
        </w:pict>
      </w:r>
      <w:r w:rsidR="006D0856" w:rsidRPr="00526AA2">
        <w:rPr>
          <w:rFonts w:ascii="Times New Roman" w:hAnsi="Times New Roman"/>
          <w:noProof/>
          <w:sz w:val="24"/>
          <w:szCs w:val="24"/>
          <w:lang w:eastAsia="pt-BR"/>
        </w:rPr>
        <w:t xml:space="preserve"> </w:t>
      </w:r>
      <w:r w:rsidR="006D0856" w:rsidRPr="00526AA2">
        <w:rPr>
          <w:rFonts w:ascii="Times New Roman" w:hAnsi="Times New Roman"/>
          <w:noProof/>
          <w:sz w:val="24"/>
          <w:szCs w:val="24"/>
          <w:lang w:eastAsia="pt-BR"/>
        </w:rPr>
        <w:tab/>
        <w:t>Os anos com regime de chuvas regulares apresentaram  variações no regime pluvial em todas as messoregiões, apresentando os maiores valores na mesorregião da Zona da Mata com média pluvial de 150 mm mês</w:t>
      </w:r>
      <w:r w:rsidR="006D0856" w:rsidRPr="00526AA2">
        <w:rPr>
          <w:rFonts w:ascii="Times New Roman" w:hAnsi="Times New Roman"/>
          <w:noProof/>
          <w:sz w:val="24"/>
          <w:szCs w:val="24"/>
          <w:vertAlign w:val="superscript"/>
          <w:lang w:eastAsia="pt-BR"/>
        </w:rPr>
        <w:t>-1</w:t>
      </w:r>
      <w:r w:rsidR="006D0856" w:rsidRPr="00526AA2">
        <w:rPr>
          <w:rFonts w:ascii="Times New Roman" w:hAnsi="Times New Roman"/>
          <w:noProof/>
          <w:sz w:val="24"/>
          <w:szCs w:val="24"/>
          <w:lang w:eastAsia="pt-BR"/>
        </w:rPr>
        <w:t xml:space="preserve"> </w:t>
      </w:r>
      <w:r w:rsidR="006D0856">
        <w:rPr>
          <w:rFonts w:ascii="Times New Roman" w:hAnsi="Times New Roman"/>
          <w:noProof/>
          <w:sz w:val="24"/>
          <w:szCs w:val="24"/>
          <w:lang w:eastAsia="pt-BR"/>
        </w:rPr>
        <w:t>(Figura 5</w:t>
      </w:r>
      <w:r w:rsidR="006D0856" w:rsidRPr="00526AA2">
        <w:rPr>
          <w:rFonts w:ascii="Times New Roman" w:hAnsi="Times New Roman"/>
          <w:noProof/>
          <w:sz w:val="24"/>
          <w:szCs w:val="24"/>
          <w:lang w:eastAsia="pt-BR"/>
        </w:rPr>
        <w:t>A) a região Agreste apresentou média mensal de 115 mm mês</w:t>
      </w:r>
      <w:r w:rsidR="006D0856" w:rsidRPr="00C73A90">
        <w:rPr>
          <w:rFonts w:ascii="Times New Roman" w:hAnsi="Times New Roman"/>
          <w:noProof/>
          <w:sz w:val="24"/>
          <w:szCs w:val="24"/>
          <w:vertAlign w:val="superscript"/>
          <w:lang w:eastAsia="pt-BR"/>
        </w:rPr>
        <w:t>-1</w:t>
      </w:r>
      <w:r w:rsidR="006D0856">
        <w:rPr>
          <w:rFonts w:ascii="Times New Roman" w:hAnsi="Times New Roman"/>
          <w:noProof/>
          <w:sz w:val="24"/>
          <w:szCs w:val="24"/>
          <w:lang w:eastAsia="pt-BR"/>
        </w:rPr>
        <w:t xml:space="preserve"> (Figura 5</w:t>
      </w:r>
      <w:r w:rsidR="006D0856" w:rsidRPr="00526AA2">
        <w:rPr>
          <w:rFonts w:ascii="Times New Roman" w:hAnsi="Times New Roman"/>
          <w:noProof/>
          <w:sz w:val="24"/>
          <w:szCs w:val="24"/>
          <w:lang w:eastAsia="pt-BR"/>
        </w:rPr>
        <w:t>B)</w:t>
      </w:r>
      <w:r w:rsidR="006D0856">
        <w:rPr>
          <w:rFonts w:ascii="Times New Roman" w:hAnsi="Times New Roman"/>
          <w:noProof/>
          <w:sz w:val="24"/>
          <w:szCs w:val="24"/>
          <w:lang w:eastAsia="pt-BR"/>
        </w:rPr>
        <w:t>,</w:t>
      </w:r>
      <w:r w:rsidR="006D0856" w:rsidRPr="00526AA2">
        <w:rPr>
          <w:rFonts w:ascii="Times New Roman" w:hAnsi="Times New Roman"/>
          <w:noProof/>
          <w:sz w:val="24"/>
          <w:szCs w:val="24"/>
          <w:lang w:eastAsia="pt-BR"/>
        </w:rPr>
        <w:t xml:space="preserve"> enquanto a região do Sertão apresentou </w:t>
      </w:r>
      <w:r w:rsidR="006D0856">
        <w:rPr>
          <w:rFonts w:ascii="Times New Roman" w:hAnsi="Times New Roman"/>
          <w:noProof/>
          <w:sz w:val="24"/>
          <w:szCs w:val="24"/>
          <w:lang w:eastAsia="pt-BR"/>
        </w:rPr>
        <w:t>í</w:t>
      </w:r>
      <w:r w:rsidR="006D0856" w:rsidRPr="00526AA2">
        <w:rPr>
          <w:rFonts w:ascii="Times New Roman" w:hAnsi="Times New Roman"/>
          <w:noProof/>
          <w:sz w:val="24"/>
          <w:szCs w:val="24"/>
          <w:lang w:eastAsia="pt-BR"/>
        </w:rPr>
        <w:t>ndices de 40 mm mês</w:t>
      </w:r>
      <w:r w:rsidR="006D0856" w:rsidRPr="00526AA2">
        <w:rPr>
          <w:rFonts w:ascii="Times New Roman" w:hAnsi="Times New Roman"/>
          <w:noProof/>
          <w:sz w:val="24"/>
          <w:szCs w:val="24"/>
          <w:vertAlign w:val="superscript"/>
          <w:lang w:eastAsia="pt-BR"/>
        </w:rPr>
        <w:t xml:space="preserve">-1 </w:t>
      </w:r>
      <w:r w:rsidR="006D0856">
        <w:rPr>
          <w:rFonts w:ascii="Times New Roman" w:hAnsi="Times New Roman"/>
          <w:noProof/>
          <w:sz w:val="24"/>
          <w:szCs w:val="24"/>
          <w:lang w:eastAsia="pt-BR"/>
        </w:rPr>
        <w:t>(Figura 5</w:t>
      </w:r>
      <w:r w:rsidR="006D0856" w:rsidRPr="00526AA2">
        <w:rPr>
          <w:rFonts w:ascii="Times New Roman" w:hAnsi="Times New Roman"/>
          <w:noProof/>
          <w:sz w:val="24"/>
          <w:szCs w:val="24"/>
          <w:lang w:eastAsia="pt-BR"/>
        </w:rPr>
        <w:t>C) e os menores valores foram encontrados na regiao do Sertão do São Francisco com média de 30 mm mês</w:t>
      </w:r>
      <w:r w:rsidR="006D0856" w:rsidRPr="00526AA2">
        <w:rPr>
          <w:rFonts w:ascii="Times New Roman" w:hAnsi="Times New Roman"/>
          <w:noProof/>
          <w:sz w:val="24"/>
          <w:szCs w:val="24"/>
          <w:vertAlign w:val="superscript"/>
          <w:lang w:eastAsia="pt-BR"/>
        </w:rPr>
        <w:t>-1</w:t>
      </w:r>
      <w:r w:rsidR="006D0856">
        <w:rPr>
          <w:rFonts w:ascii="Times New Roman" w:hAnsi="Times New Roman"/>
          <w:noProof/>
          <w:sz w:val="24"/>
          <w:szCs w:val="24"/>
          <w:lang w:eastAsia="pt-BR"/>
        </w:rPr>
        <w:t xml:space="preserve"> (Figura 5</w:t>
      </w:r>
      <w:r w:rsidR="006D0856" w:rsidRPr="00526AA2">
        <w:rPr>
          <w:rFonts w:ascii="Times New Roman" w:hAnsi="Times New Roman"/>
          <w:noProof/>
          <w:sz w:val="24"/>
          <w:szCs w:val="24"/>
          <w:lang w:eastAsia="pt-BR"/>
        </w:rPr>
        <w:t>D).</w:t>
      </w:r>
    </w:p>
    <w:p w:rsidR="006D0856" w:rsidRPr="00526AA2" w:rsidRDefault="00026642" w:rsidP="00753FA3">
      <w:pPr>
        <w:spacing w:line="480" w:lineRule="auto"/>
        <w:ind w:right="-1"/>
        <w:rPr>
          <w:rFonts w:ascii="Times New Roman" w:hAnsi="Times New Roman"/>
          <w:sz w:val="24"/>
          <w:szCs w:val="24"/>
          <w:lang w:eastAsia="pt-BR"/>
        </w:rPr>
      </w:pPr>
      <w:r>
        <w:rPr>
          <w:rFonts w:ascii="Times New Roman" w:hAnsi="Times New Roman"/>
          <w:noProof/>
          <w:sz w:val="24"/>
          <w:szCs w:val="24"/>
          <w:lang w:eastAsia="pt-BR"/>
        </w:rPr>
        <w:pict>
          <v:shape id="_x0000_s1036" type="#_x0000_t202" style="position:absolute;margin-left:-4pt;margin-top:168.7pt;width:26.05pt;height:24.35pt;z-index:251671552;mso-width-relative:margin;mso-height-relative:margin" stroked="f">
            <v:fill opacity="0"/>
            <v:textbox style="mso-next-textbox:#_x0000_s1036">
              <w:txbxContent>
                <w:p w:rsidR="006D0856" w:rsidRPr="004278F2" w:rsidRDefault="006D0856" w:rsidP="006D0856">
                  <w:pPr>
                    <w:rPr>
                      <w:rFonts w:ascii="Times New Roman" w:hAnsi="Times New Roman"/>
                    </w:rPr>
                  </w:pPr>
                  <w:r>
                    <w:rPr>
                      <w:rFonts w:ascii="Times New Roman" w:hAnsi="Times New Roman"/>
                    </w:rPr>
                    <w:t>C.</w:t>
                  </w:r>
                </w:p>
              </w:txbxContent>
            </v:textbox>
          </v:shape>
        </w:pict>
      </w:r>
      <w:r>
        <w:rPr>
          <w:rFonts w:ascii="Times New Roman" w:hAnsi="Times New Roman"/>
          <w:noProof/>
          <w:sz w:val="24"/>
          <w:szCs w:val="24"/>
          <w:lang w:eastAsia="pt-BR"/>
        </w:rPr>
        <w:pict>
          <v:shape id="_x0000_s1037" type="#_x0000_t202" style="position:absolute;margin-left:214.25pt;margin-top:173.3pt;width:26.05pt;height:24.35pt;z-index:251672576;mso-width-relative:margin;mso-height-relative:margin" stroked="f">
            <v:fill opacity="0"/>
            <v:textbox style="mso-next-textbox:#_x0000_s1037">
              <w:txbxContent>
                <w:p w:rsidR="006D0856" w:rsidRPr="004278F2" w:rsidRDefault="006D0856" w:rsidP="006D0856">
                  <w:pPr>
                    <w:rPr>
                      <w:rFonts w:ascii="Times New Roman" w:hAnsi="Times New Roman"/>
                    </w:rPr>
                  </w:pPr>
                  <w:r>
                    <w:rPr>
                      <w:rFonts w:ascii="Times New Roman" w:hAnsi="Times New Roman"/>
                    </w:rPr>
                    <w:t>D.</w:t>
                  </w:r>
                </w:p>
              </w:txbxContent>
            </v:textbox>
          </v:shape>
        </w:pict>
      </w:r>
      <w:r>
        <w:rPr>
          <w:rFonts w:ascii="Times New Roman" w:hAnsi="Times New Roman"/>
          <w:noProof/>
          <w:sz w:val="24"/>
          <w:szCs w:val="24"/>
          <w:lang w:eastAsia="pt-BR"/>
        </w:rPr>
        <w:pict>
          <v:shape id="_x0000_s1034" type="#_x0000_t202" style="position:absolute;margin-left:-5.5pt;margin-top:-9.2pt;width:26.05pt;height:24.35pt;z-index:251669504;mso-width-relative:margin;mso-height-relative:margin" stroked="f">
            <v:fill opacity="0"/>
            <v:textbox style="mso-next-textbox:#_x0000_s1034">
              <w:txbxContent>
                <w:p w:rsidR="006D0856" w:rsidRPr="004278F2" w:rsidRDefault="006D0856" w:rsidP="006D0856">
                  <w:pPr>
                    <w:rPr>
                      <w:rFonts w:ascii="Times New Roman" w:hAnsi="Times New Roman"/>
                    </w:rPr>
                  </w:pPr>
                  <w:r>
                    <w:rPr>
                      <w:rFonts w:ascii="Times New Roman" w:hAnsi="Times New Roman"/>
                    </w:rPr>
                    <w:t>A.</w:t>
                  </w:r>
                </w:p>
              </w:txbxContent>
            </v:textbox>
          </v:shape>
        </w:pict>
      </w:r>
      <w:r w:rsidR="006D0856">
        <w:rPr>
          <w:rFonts w:ascii="Times New Roman" w:hAnsi="Times New Roman"/>
          <w:noProof/>
          <w:sz w:val="24"/>
          <w:szCs w:val="24"/>
          <w:lang w:eastAsia="pt-BR"/>
        </w:rPr>
        <w:drawing>
          <wp:inline distT="0" distB="0" distL="0" distR="0">
            <wp:extent cx="2635250" cy="1980000"/>
            <wp:effectExtent l="0" t="0" r="0" b="0"/>
            <wp:docPr id="36"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6D0856">
        <w:rPr>
          <w:rFonts w:ascii="Times New Roman" w:hAnsi="Times New Roman"/>
          <w:noProof/>
          <w:sz w:val="24"/>
          <w:szCs w:val="24"/>
          <w:lang w:eastAsia="pt-BR"/>
        </w:rPr>
        <w:drawing>
          <wp:inline distT="0" distB="0" distL="0" distR="0">
            <wp:extent cx="2641600" cy="1980000"/>
            <wp:effectExtent l="0" t="0" r="0" b="0"/>
            <wp:docPr id="35" name="Gráfico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D0856" w:rsidRPr="00526AA2" w:rsidRDefault="003B6957" w:rsidP="00753FA3">
      <w:pPr>
        <w:spacing w:line="480" w:lineRule="auto"/>
        <w:ind w:right="-1"/>
        <w:rPr>
          <w:rFonts w:ascii="Times New Roman" w:hAnsi="Times New Roman"/>
        </w:rPr>
      </w:pPr>
      <w:r w:rsidRPr="003B6957">
        <w:rPr>
          <w:rFonts w:ascii="Times New Roman" w:hAnsi="Times New Roman"/>
          <w:noProof/>
          <w:lang w:eastAsia="pt-BR"/>
        </w:rPr>
        <w:drawing>
          <wp:inline distT="0" distB="0" distL="0" distR="0">
            <wp:extent cx="2724150" cy="2025650"/>
            <wp:effectExtent l="0" t="0" r="0" b="0"/>
            <wp:docPr id="3" name="Gráfico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6D0856">
        <w:rPr>
          <w:rFonts w:ascii="Times New Roman" w:hAnsi="Times New Roman"/>
          <w:noProof/>
          <w:lang w:eastAsia="pt-BR"/>
        </w:rPr>
        <w:drawing>
          <wp:inline distT="0" distB="0" distL="0" distR="0">
            <wp:extent cx="2628900" cy="1980000"/>
            <wp:effectExtent l="0" t="0" r="0" b="0"/>
            <wp:docPr id="33" name="Gráfico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D0856" w:rsidRPr="001358F5" w:rsidRDefault="006D0856" w:rsidP="00753FA3">
      <w:pPr>
        <w:spacing w:line="480" w:lineRule="auto"/>
        <w:ind w:right="-1"/>
        <w:rPr>
          <w:rFonts w:ascii="Times New Roman" w:hAnsi="Times New Roman"/>
          <w:noProof/>
          <w:sz w:val="24"/>
          <w:szCs w:val="24"/>
          <w:lang w:val="en-US" w:eastAsia="pt-BR"/>
        </w:rPr>
      </w:pPr>
      <w:r w:rsidRPr="001358F5">
        <w:rPr>
          <w:rFonts w:ascii="Times New Roman" w:hAnsi="Times New Roman"/>
          <w:b/>
          <w:noProof/>
          <w:sz w:val="24"/>
          <w:szCs w:val="24"/>
          <w:lang w:val="en-US" w:eastAsia="pt-BR"/>
        </w:rPr>
        <w:lastRenderedPageBreak/>
        <w:t>Figur</w:t>
      </w:r>
      <w:r w:rsidR="001358F5" w:rsidRPr="001358F5">
        <w:rPr>
          <w:rFonts w:ascii="Times New Roman" w:hAnsi="Times New Roman"/>
          <w:b/>
          <w:noProof/>
          <w:sz w:val="24"/>
          <w:szCs w:val="24"/>
          <w:lang w:val="en-US" w:eastAsia="pt-BR"/>
        </w:rPr>
        <w:t>e</w:t>
      </w:r>
      <w:r w:rsidRPr="001358F5">
        <w:rPr>
          <w:rFonts w:ascii="Times New Roman" w:hAnsi="Times New Roman"/>
          <w:b/>
          <w:noProof/>
          <w:sz w:val="24"/>
          <w:szCs w:val="24"/>
          <w:lang w:val="en-US" w:eastAsia="pt-BR"/>
        </w:rPr>
        <w:t xml:space="preserve"> 5. </w:t>
      </w:r>
      <w:r w:rsidR="001358F5" w:rsidRPr="001358F5">
        <w:rPr>
          <w:rStyle w:val="hps"/>
          <w:rFonts w:ascii="Times New Roman" w:hAnsi="Times New Roman"/>
          <w:sz w:val="24"/>
          <w:szCs w:val="24"/>
          <w:lang w:val="en-US"/>
        </w:rPr>
        <w:t>Rainfall</w:t>
      </w:r>
      <w:r w:rsidR="001358F5" w:rsidRPr="001358F5">
        <w:rPr>
          <w:rStyle w:val="longtext"/>
          <w:rFonts w:ascii="Times New Roman" w:hAnsi="Times New Roman"/>
          <w:sz w:val="24"/>
          <w:szCs w:val="24"/>
          <w:lang w:val="en-US"/>
        </w:rPr>
        <w:t xml:space="preserve"> </w:t>
      </w:r>
      <w:r w:rsidR="001358F5" w:rsidRPr="001358F5">
        <w:rPr>
          <w:rStyle w:val="hps"/>
          <w:rFonts w:ascii="Times New Roman" w:hAnsi="Times New Roman"/>
          <w:sz w:val="24"/>
          <w:szCs w:val="24"/>
          <w:lang w:val="en-US"/>
        </w:rPr>
        <w:t>for</w:t>
      </w:r>
      <w:r w:rsidR="001358F5" w:rsidRPr="001358F5">
        <w:rPr>
          <w:rStyle w:val="longtext"/>
          <w:rFonts w:ascii="Times New Roman" w:hAnsi="Times New Roman"/>
          <w:sz w:val="24"/>
          <w:szCs w:val="24"/>
          <w:lang w:val="en-US"/>
        </w:rPr>
        <w:t xml:space="preserve"> </w:t>
      </w:r>
      <w:r w:rsidR="001358F5" w:rsidRPr="001358F5">
        <w:rPr>
          <w:rStyle w:val="hps"/>
          <w:rFonts w:ascii="Times New Roman" w:hAnsi="Times New Roman"/>
          <w:sz w:val="24"/>
          <w:szCs w:val="24"/>
          <w:lang w:val="en-US"/>
        </w:rPr>
        <w:t>regular years</w:t>
      </w:r>
      <w:r w:rsidR="001358F5" w:rsidRPr="001358F5">
        <w:rPr>
          <w:rStyle w:val="longtext"/>
          <w:rFonts w:ascii="Times New Roman" w:hAnsi="Times New Roman"/>
          <w:sz w:val="24"/>
          <w:szCs w:val="24"/>
          <w:lang w:val="en-US"/>
        </w:rPr>
        <w:t xml:space="preserve"> </w:t>
      </w:r>
      <w:r w:rsidR="001358F5" w:rsidRPr="001358F5">
        <w:rPr>
          <w:rStyle w:val="hps"/>
          <w:rFonts w:ascii="Times New Roman" w:hAnsi="Times New Roman"/>
          <w:sz w:val="24"/>
          <w:szCs w:val="24"/>
          <w:lang w:val="en-US"/>
        </w:rPr>
        <w:t>in</w:t>
      </w:r>
      <w:r w:rsidR="001358F5" w:rsidRPr="001358F5">
        <w:rPr>
          <w:rStyle w:val="longtext"/>
          <w:rFonts w:ascii="Times New Roman" w:hAnsi="Times New Roman"/>
          <w:sz w:val="24"/>
          <w:szCs w:val="24"/>
          <w:lang w:val="en-US"/>
        </w:rPr>
        <w:t xml:space="preserve"> </w:t>
      </w:r>
      <w:r w:rsidR="001358F5" w:rsidRPr="001358F5">
        <w:rPr>
          <w:rStyle w:val="hps"/>
          <w:rFonts w:ascii="Times New Roman" w:hAnsi="Times New Roman"/>
          <w:sz w:val="24"/>
          <w:szCs w:val="24"/>
          <w:lang w:val="en-US"/>
        </w:rPr>
        <w:t>State</w:t>
      </w:r>
      <w:r w:rsidR="001358F5">
        <w:rPr>
          <w:rStyle w:val="hps"/>
          <w:rFonts w:ascii="Times New Roman" w:hAnsi="Times New Roman"/>
          <w:sz w:val="24"/>
          <w:szCs w:val="24"/>
          <w:lang w:val="en-US"/>
        </w:rPr>
        <w:t xml:space="preserve"> </w:t>
      </w:r>
      <w:proofErr w:type="spellStart"/>
      <w:r w:rsidR="001358F5">
        <w:rPr>
          <w:rStyle w:val="hps"/>
          <w:rFonts w:ascii="Times New Roman" w:hAnsi="Times New Roman"/>
          <w:sz w:val="24"/>
          <w:szCs w:val="24"/>
          <w:lang w:val="en-US"/>
        </w:rPr>
        <w:t>mes</w:t>
      </w:r>
      <w:r w:rsidR="001358F5" w:rsidRPr="001358F5">
        <w:rPr>
          <w:rStyle w:val="hps"/>
          <w:rFonts w:ascii="Times New Roman" w:hAnsi="Times New Roman"/>
          <w:sz w:val="24"/>
          <w:szCs w:val="24"/>
          <w:lang w:val="en-US"/>
        </w:rPr>
        <w:t>oregi</w:t>
      </w:r>
      <w:r w:rsidR="001358F5">
        <w:rPr>
          <w:rStyle w:val="hps"/>
          <w:rFonts w:ascii="Times New Roman" w:hAnsi="Times New Roman"/>
          <w:sz w:val="24"/>
          <w:szCs w:val="24"/>
          <w:lang w:val="en-US"/>
        </w:rPr>
        <w:t>ons</w:t>
      </w:r>
      <w:proofErr w:type="spellEnd"/>
      <w:r w:rsidR="001358F5" w:rsidRPr="001358F5">
        <w:rPr>
          <w:rStyle w:val="longtext"/>
          <w:rFonts w:ascii="Times New Roman" w:hAnsi="Times New Roman"/>
          <w:sz w:val="24"/>
          <w:szCs w:val="24"/>
          <w:lang w:val="en-US"/>
        </w:rPr>
        <w:t>:</w:t>
      </w:r>
      <w:r w:rsidR="001358F5" w:rsidRPr="001358F5">
        <w:rPr>
          <w:rFonts w:ascii="Times New Roman" w:hAnsi="Times New Roman"/>
          <w:sz w:val="24"/>
          <w:szCs w:val="24"/>
          <w:lang w:val="en-US"/>
        </w:rPr>
        <w:t xml:space="preserve"> Zone of Forest </w:t>
      </w:r>
      <w:r w:rsidR="001358F5" w:rsidRPr="001358F5">
        <w:rPr>
          <w:rStyle w:val="hps"/>
          <w:rFonts w:ascii="Times New Roman" w:hAnsi="Times New Roman"/>
          <w:sz w:val="24"/>
          <w:szCs w:val="24"/>
          <w:lang w:val="en-US"/>
        </w:rPr>
        <w:t xml:space="preserve"> </w:t>
      </w:r>
      <w:r w:rsidR="001358F5" w:rsidRPr="001358F5">
        <w:rPr>
          <w:rFonts w:ascii="Times New Roman" w:hAnsi="Times New Roman"/>
          <w:sz w:val="24"/>
          <w:szCs w:val="24"/>
          <w:lang w:val="en-US"/>
        </w:rPr>
        <w:t xml:space="preserve"> </w:t>
      </w:r>
      <w:r w:rsidR="001358F5" w:rsidRPr="001358F5">
        <w:rPr>
          <w:rStyle w:val="hps"/>
          <w:rFonts w:ascii="Times New Roman" w:hAnsi="Times New Roman"/>
          <w:sz w:val="24"/>
          <w:szCs w:val="24"/>
          <w:lang w:val="en-US"/>
        </w:rPr>
        <w:t>(A),</w:t>
      </w:r>
      <w:r w:rsidR="001358F5" w:rsidRPr="001358F5">
        <w:rPr>
          <w:rFonts w:ascii="Times New Roman" w:hAnsi="Times New Roman"/>
          <w:sz w:val="24"/>
          <w:szCs w:val="24"/>
          <w:lang w:val="en-US"/>
        </w:rPr>
        <w:t xml:space="preserve"> </w:t>
      </w:r>
      <w:proofErr w:type="spellStart"/>
      <w:r w:rsidR="001358F5" w:rsidRPr="001358F5">
        <w:rPr>
          <w:rStyle w:val="hps"/>
          <w:rFonts w:ascii="Times New Roman" w:hAnsi="Times New Roman"/>
          <w:sz w:val="24"/>
          <w:szCs w:val="24"/>
          <w:lang w:val="en-US"/>
        </w:rPr>
        <w:t>Agreste</w:t>
      </w:r>
      <w:proofErr w:type="spellEnd"/>
      <w:r w:rsidR="001358F5" w:rsidRPr="001358F5">
        <w:rPr>
          <w:rFonts w:ascii="Times New Roman" w:hAnsi="Times New Roman"/>
          <w:sz w:val="24"/>
          <w:szCs w:val="24"/>
          <w:lang w:val="en-US"/>
        </w:rPr>
        <w:t xml:space="preserve"> </w:t>
      </w:r>
      <w:r w:rsidR="001358F5" w:rsidRPr="001358F5">
        <w:rPr>
          <w:rStyle w:val="hps"/>
          <w:rFonts w:ascii="Times New Roman" w:hAnsi="Times New Roman"/>
          <w:sz w:val="24"/>
          <w:szCs w:val="24"/>
          <w:lang w:val="en-US"/>
        </w:rPr>
        <w:t>(B),</w:t>
      </w:r>
      <w:r w:rsidR="001358F5" w:rsidRPr="001358F5">
        <w:rPr>
          <w:rFonts w:ascii="Times New Roman" w:hAnsi="Times New Roman"/>
          <w:sz w:val="24"/>
          <w:szCs w:val="24"/>
          <w:lang w:val="en-US"/>
        </w:rPr>
        <w:t xml:space="preserve"> </w:t>
      </w:r>
      <w:proofErr w:type="spellStart"/>
      <w:r w:rsidR="001358F5" w:rsidRPr="001358F5">
        <w:rPr>
          <w:rStyle w:val="hps"/>
          <w:rFonts w:ascii="Times New Roman" w:hAnsi="Times New Roman"/>
          <w:sz w:val="24"/>
          <w:szCs w:val="24"/>
          <w:lang w:val="en-US"/>
        </w:rPr>
        <w:t>Sertão</w:t>
      </w:r>
      <w:proofErr w:type="spellEnd"/>
      <w:r w:rsidR="001358F5" w:rsidRPr="001358F5">
        <w:rPr>
          <w:rFonts w:ascii="Times New Roman" w:hAnsi="Times New Roman"/>
          <w:sz w:val="24"/>
          <w:szCs w:val="24"/>
          <w:lang w:val="en-US"/>
        </w:rPr>
        <w:t xml:space="preserve"> </w:t>
      </w:r>
      <w:r w:rsidR="001358F5" w:rsidRPr="001358F5">
        <w:rPr>
          <w:rStyle w:val="hps"/>
          <w:rFonts w:ascii="Times New Roman" w:hAnsi="Times New Roman"/>
          <w:sz w:val="24"/>
          <w:szCs w:val="24"/>
          <w:lang w:val="en-US"/>
        </w:rPr>
        <w:t>(C) and</w:t>
      </w:r>
      <w:r w:rsidR="001358F5" w:rsidRPr="001358F5">
        <w:rPr>
          <w:rFonts w:ascii="Times New Roman" w:hAnsi="Times New Roman"/>
          <w:sz w:val="24"/>
          <w:szCs w:val="24"/>
          <w:lang w:val="en-US"/>
        </w:rPr>
        <w:t xml:space="preserve"> </w:t>
      </w:r>
      <w:proofErr w:type="spellStart"/>
      <w:r w:rsidR="001358F5" w:rsidRPr="001358F5">
        <w:rPr>
          <w:rStyle w:val="hps"/>
          <w:rFonts w:ascii="Times New Roman" w:hAnsi="Times New Roman"/>
          <w:sz w:val="24"/>
          <w:szCs w:val="24"/>
          <w:lang w:val="en-US"/>
        </w:rPr>
        <w:t>Sertão</w:t>
      </w:r>
      <w:proofErr w:type="spellEnd"/>
      <w:r w:rsidR="001358F5" w:rsidRPr="001358F5">
        <w:rPr>
          <w:rStyle w:val="hps"/>
          <w:rFonts w:ascii="Times New Roman" w:hAnsi="Times New Roman"/>
          <w:sz w:val="24"/>
          <w:szCs w:val="24"/>
          <w:lang w:val="en-US"/>
        </w:rPr>
        <w:t xml:space="preserve"> of</w:t>
      </w:r>
      <w:r w:rsidR="001358F5" w:rsidRPr="001358F5">
        <w:rPr>
          <w:rFonts w:ascii="Times New Roman" w:hAnsi="Times New Roman"/>
          <w:sz w:val="24"/>
          <w:szCs w:val="24"/>
          <w:lang w:val="en-US"/>
        </w:rPr>
        <w:t xml:space="preserve"> </w:t>
      </w:r>
      <w:r w:rsidR="001358F5" w:rsidRPr="001358F5">
        <w:rPr>
          <w:rStyle w:val="hps"/>
          <w:rFonts w:ascii="Times New Roman" w:hAnsi="Times New Roman"/>
          <w:sz w:val="24"/>
          <w:szCs w:val="24"/>
          <w:lang w:val="en-US"/>
        </w:rPr>
        <w:t>San Francisco (D)</w:t>
      </w:r>
    </w:p>
    <w:p w:rsidR="006D0856" w:rsidRPr="00526AA2" w:rsidRDefault="006D0856" w:rsidP="00753FA3">
      <w:pPr>
        <w:spacing w:line="480" w:lineRule="auto"/>
        <w:ind w:right="-1"/>
        <w:jc w:val="both"/>
        <w:rPr>
          <w:rFonts w:ascii="Times New Roman" w:hAnsi="Times New Roman"/>
        </w:rPr>
      </w:pPr>
      <w:r w:rsidRPr="001358F5">
        <w:rPr>
          <w:rFonts w:ascii="Times New Roman" w:hAnsi="Times New Roman"/>
          <w:noProof/>
          <w:sz w:val="24"/>
          <w:szCs w:val="24"/>
          <w:lang w:val="en-US" w:eastAsia="pt-BR"/>
        </w:rPr>
        <w:tab/>
      </w:r>
      <w:r w:rsidRPr="00526AA2">
        <w:rPr>
          <w:rFonts w:ascii="Times New Roman" w:hAnsi="Times New Roman"/>
          <w:noProof/>
          <w:sz w:val="24"/>
          <w:szCs w:val="24"/>
          <w:lang w:eastAsia="pt-BR"/>
        </w:rPr>
        <w:t>A evapotranspiração potencial apresentou médias de 112 mm mês</w:t>
      </w:r>
      <w:r w:rsidRPr="00526AA2">
        <w:rPr>
          <w:rFonts w:ascii="Times New Roman" w:hAnsi="Times New Roman"/>
          <w:noProof/>
          <w:sz w:val="24"/>
          <w:szCs w:val="24"/>
          <w:vertAlign w:val="superscript"/>
          <w:lang w:eastAsia="pt-BR"/>
        </w:rPr>
        <w:t>-1</w:t>
      </w:r>
      <w:r>
        <w:rPr>
          <w:rFonts w:ascii="Times New Roman" w:hAnsi="Times New Roman"/>
          <w:noProof/>
          <w:sz w:val="24"/>
          <w:szCs w:val="24"/>
          <w:lang w:eastAsia="pt-BR"/>
        </w:rPr>
        <w:t xml:space="preserve"> para a Zona da Mata (Figura 6</w:t>
      </w:r>
      <w:r w:rsidRPr="00526AA2">
        <w:rPr>
          <w:rFonts w:ascii="Times New Roman" w:hAnsi="Times New Roman"/>
          <w:noProof/>
          <w:sz w:val="24"/>
          <w:szCs w:val="24"/>
          <w:lang w:eastAsia="pt-BR"/>
        </w:rPr>
        <w:t>A), 93 mm mês</w:t>
      </w:r>
      <w:r w:rsidRPr="00526AA2">
        <w:rPr>
          <w:rFonts w:ascii="Times New Roman" w:hAnsi="Times New Roman"/>
          <w:noProof/>
          <w:sz w:val="24"/>
          <w:szCs w:val="24"/>
          <w:vertAlign w:val="superscript"/>
          <w:lang w:eastAsia="pt-BR"/>
        </w:rPr>
        <w:t>-1</w:t>
      </w:r>
      <w:r w:rsidRPr="00526AA2">
        <w:rPr>
          <w:rFonts w:ascii="Times New Roman" w:hAnsi="Times New Roman"/>
          <w:noProof/>
          <w:sz w:val="24"/>
          <w:szCs w:val="24"/>
          <w:lang w:eastAsia="pt-BR"/>
        </w:rPr>
        <w:t xml:space="preserve">, para a </w:t>
      </w:r>
      <w:r>
        <w:rPr>
          <w:rFonts w:ascii="Times New Roman" w:hAnsi="Times New Roman"/>
          <w:noProof/>
          <w:sz w:val="24"/>
          <w:szCs w:val="24"/>
          <w:lang w:eastAsia="pt-BR"/>
        </w:rPr>
        <w:t>mesorregião do Agreste (Figura 6</w:t>
      </w:r>
      <w:r w:rsidRPr="00526AA2">
        <w:rPr>
          <w:rFonts w:ascii="Times New Roman" w:hAnsi="Times New Roman"/>
          <w:noProof/>
          <w:sz w:val="24"/>
          <w:szCs w:val="24"/>
          <w:lang w:eastAsia="pt-BR"/>
        </w:rPr>
        <w:t>B), 111 mm mês</w:t>
      </w:r>
      <w:r w:rsidRPr="00526AA2">
        <w:rPr>
          <w:rFonts w:ascii="Times New Roman" w:hAnsi="Times New Roman"/>
          <w:noProof/>
          <w:sz w:val="24"/>
          <w:szCs w:val="24"/>
          <w:vertAlign w:val="superscript"/>
          <w:lang w:eastAsia="pt-BR"/>
        </w:rPr>
        <w:t>-1</w:t>
      </w:r>
      <w:r>
        <w:rPr>
          <w:rFonts w:ascii="Times New Roman" w:hAnsi="Times New Roman"/>
          <w:noProof/>
          <w:sz w:val="24"/>
          <w:szCs w:val="24"/>
          <w:lang w:eastAsia="pt-BR"/>
        </w:rPr>
        <w:t>, para o Sertão (Figura 6</w:t>
      </w:r>
      <w:r w:rsidRPr="00526AA2">
        <w:rPr>
          <w:rFonts w:ascii="Times New Roman" w:hAnsi="Times New Roman"/>
          <w:noProof/>
          <w:sz w:val="24"/>
          <w:szCs w:val="24"/>
          <w:lang w:eastAsia="pt-BR"/>
        </w:rPr>
        <w:t>C) e 123 mm mês</w:t>
      </w:r>
      <w:r w:rsidRPr="00526AA2">
        <w:rPr>
          <w:rFonts w:ascii="Times New Roman" w:hAnsi="Times New Roman"/>
          <w:noProof/>
          <w:sz w:val="24"/>
          <w:szCs w:val="24"/>
          <w:vertAlign w:val="superscript"/>
          <w:lang w:eastAsia="pt-BR"/>
        </w:rPr>
        <w:t>-1</w:t>
      </w:r>
      <w:r w:rsidRPr="00526AA2">
        <w:rPr>
          <w:rFonts w:ascii="Times New Roman" w:hAnsi="Times New Roman"/>
          <w:noProof/>
          <w:sz w:val="24"/>
          <w:szCs w:val="24"/>
          <w:lang w:eastAsia="pt-BR"/>
        </w:rPr>
        <w:t>, para o S</w:t>
      </w:r>
      <w:r>
        <w:rPr>
          <w:rFonts w:ascii="Times New Roman" w:hAnsi="Times New Roman"/>
          <w:noProof/>
          <w:sz w:val="24"/>
          <w:szCs w:val="24"/>
          <w:lang w:eastAsia="pt-BR"/>
        </w:rPr>
        <w:t>ertão do São Francisco (Figura 6</w:t>
      </w:r>
      <w:r w:rsidRPr="00526AA2">
        <w:rPr>
          <w:rFonts w:ascii="Times New Roman" w:hAnsi="Times New Roman"/>
          <w:noProof/>
          <w:sz w:val="24"/>
          <w:szCs w:val="24"/>
          <w:lang w:eastAsia="pt-BR"/>
        </w:rPr>
        <w:t>D). O manejo da irrigação  deverá ser feito principalmente nos meses de janeiro a maio nas messoregi</w:t>
      </w:r>
      <w:r>
        <w:rPr>
          <w:rFonts w:ascii="Times New Roman" w:hAnsi="Times New Roman"/>
          <w:noProof/>
          <w:sz w:val="24"/>
          <w:szCs w:val="24"/>
          <w:lang w:eastAsia="pt-BR"/>
        </w:rPr>
        <w:t>õ</w:t>
      </w:r>
      <w:r w:rsidRPr="00526AA2">
        <w:rPr>
          <w:rFonts w:ascii="Times New Roman" w:hAnsi="Times New Roman"/>
          <w:noProof/>
          <w:sz w:val="24"/>
          <w:szCs w:val="24"/>
          <w:lang w:eastAsia="pt-BR"/>
        </w:rPr>
        <w:t>es do Sert</w:t>
      </w:r>
      <w:r>
        <w:rPr>
          <w:rFonts w:ascii="Times New Roman" w:hAnsi="Times New Roman"/>
          <w:noProof/>
          <w:sz w:val="24"/>
          <w:szCs w:val="24"/>
          <w:lang w:eastAsia="pt-BR"/>
        </w:rPr>
        <w:t>ão do Estado. S</w:t>
      </w:r>
      <w:r w:rsidR="003017D0">
        <w:rPr>
          <w:rFonts w:ascii="Times New Roman" w:hAnsi="Times New Roman"/>
          <w:noProof/>
          <w:sz w:val="24"/>
          <w:szCs w:val="24"/>
          <w:lang w:eastAsia="pt-BR"/>
        </w:rPr>
        <w:t>ILVA</w:t>
      </w:r>
      <w:r>
        <w:rPr>
          <w:rFonts w:ascii="Times New Roman" w:hAnsi="Times New Roman"/>
          <w:noProof/>
          <w:sz w:val="24"/>
          <w:szCs w:val="24"/>
          <w:lang w:eastAsia="pt-BR"/>
        </w:rPr>
        <w:t xml:space="preserve"> et al.</w:t>
      </w:r>
      <w:r w:rsidRPr="00526AA2">
        <w:rPr>
          <w:rFonts w:ascii="Times New Roman" w:hAnsi="Times New Roman"/>
          <w:noProof/>
          <w:sz w:val="24"/>
          <w:szCs w:val="24"/>
          <w:lang w:eastAsia="pt-BR"/>
        </w:rPr>
        <w:t xml:space="preserve"> (2011) afirma que mesmo nos diferentes regimes de chuva o cultivo em sequeiro não torna-se adequado para as regi</w:t>
      </w:r>
      <w:r>
        <w:rPr>
          <w:rFonts w:ascii="Times New Roman" w:hAnsi="Times New Roman"/>
          <w:noProof/>
          <w:sz w:val="24"/>
          <w:szCs w:val="24"/>
          <w:lang w:eastAsia="pt-BR"/>
        </w:rPr>
        <w:t>õ</w:t>
      </w:r>
      <w:r w:rsidRPr="00526AA2">
        <w:rPr>
          <w:rFonts w:ascii="Times New Roman" w:hAnsi="Times New Roman"/>
          <w:noProof/>
          <w:sz w:val="24"/>
          <w:szCs w:val="24"/>
          <w:lang w:eastAsia="pt-BR"/>
        </w:rPr>
        <w:t>es dos sertões do Estado</w:t>
      </w:r>
      <w:r>
        <w:rPr>
          <w:rFonts w:ascii="Times New Roman" w:hAnsi="Times New Roman"/>
          <w:noProof/>
          <w:sz w:val="24"/>
          <w:szCs w:val="24"/>
          <w:lang w:eastAsia="pt-BR"/>
        </w:rPr>
        <w:t>,</w:t>
      </w:r>
      <w:r w:rsidRPr="00526AA2">
        <w:rPr>
          <w:rFonts w:ascii="Times New Roman" w:hAnsi="Times New Roman"/>
          <w:noProof/>
          <w:sz w:val="24"/>
          <w:szCs w:val="24"/>
          <w:lang w:eastAsia="pt-BR"/>
        </w:rPr>
        <w:t xml:space="preserve"> necessitando para culturas não adaptadas uso da irrigação.</w:t>
      </w:r>
      <w:r w:rsidRPr="00526AA2">
        <w:rPr>
          <w:rFonts w:ascii="Times New Roman" w:hAnsi="Times New Roman"/>
          <w:noProof/>
          <w:lang w:eastAsia="pt-BR"/>
        </w:rPr>
        <w:t xml:space="preserve">  </w:t>
      </w:r>
    </w:p>
    <w:p w:rsidR="006D0856" w:rsidRPr="00526AA2" w:rsidRDefault="00026642" w:rsidP="00753FA3">
      <w:pPr>
        <w:spacing w:line="480" w:lineRule="auto"/>
        <w:ind w:right="-1"/>
        <w:rPr>
          <w:rFonts w:ascii="Times New Roman" w:hAnsi="Times New Roman"/>
        </w:rPr>
      </w:pPr>
      <w:r w:rsidRPr="00026642">
        <w:rPr>
          <w:rFonts w:ascii="Times New Roman" w:hAnsi="Times New Roman"/>
          <w:noProof/>
          <w:sz w:val="24"/>
          <w:szCs w:val="24"/>
          <w:lang w:eastAsia="pt-BR"/>
        </w:rPr>
        <w:pict>
          <v:shape id="_x0000_s1041" type="#_x0000_t202" style="position:absolute;margin-left:-6.2pt;margin-top:-6.5pt;width:26.05pt;height:24.35pt;z-index:251676672;mso-width-relative:margin;mso-height-relative:margin" stroked="f">
            <v:fill opacity="0"/>
            <v:textbox style="mso-next-textbox:#_x0000_s1041">
              <w:txbxContent>
                <w:p w:rsidR="006D0856" w:rsidRPr="004278F2" w:rsidRDefault="006D0856" w:rsidP="006D0856">
                  <w:pPr>
                    <w:rPr>
                      <w:rFonts w:ascii="Times New Roman" w:hAnsi="Times New Roman"/>
                    </w:rPr>
                  </w:pPr>
                  <w:r>
                    <w:rPr>
                      <w:rFonts w:ascii="Times New Roman" w:hAnsi="Times New Roman"/>
                    </w:rPr>
                    <w:t>A.</w:t>
                  </w:r>
                </w:p>
              </w:txbxContent>
            </v:textbox>
          </v:shape>
        </w:pict>
      </w:r>
      <w:r w:rsidRPr="00026642">
        <w:rPr>
          <w:rFonts w:ascii="Times New Roman" w:hAnsi="Times New Roman"/>
          <w:noProof/>
          <w:sz w:val="24"/>
          <w:szCs w:val="24"/>
          <w:lang w:eastAsia="pt-BR"/>
        </w:rPr>
        <w:pict>
          <v:shape id="_x0000_s1038" type="#_x0000_t202" style="position:absolute;margin-left:200.15pt;margin-top:-7.15pt;width:26.05pt;height:24.35pt;z-index:251673600;mso-width-relative:margin;mso-height-relative:margin" stroked="f">
            <v:fill opacity="0"/>
            <v:textbox style="mso-next-textbox:#_x0000_s1038">
              <w:txbxContent>
                <w:p w:rsidR="006D0856" w:rsidRPr="004278F2" w:rsidRDefault="006D0856" w:rsidP="006D0856">
                  <w:pPr>
                    <w:rPr>
                      <w:rFonts w:ascii="Times New Roman" w:hAnsi="Times New Roman"/>
                    </w:rPr>
                  </w:pPr>
                  <w:r>
                    <w:rPr>
                      <w:rFonts w:ascii="Times New Roman" w:hAnsi="Times New Roman"/>
                    </w:rPr>
                    <w:t>B.</w:t>
                  </w:r>
                </w:p>
              </w:txbxContent>
            </v:textbox>
          </v:shape>
        </w:pict>
      </w:r>
      <w:r w:rsidR="006D0856">
        <w:rPr>
          <w:rFonts w:ascii="Times New Roman" w:hAnsi="Times New Roman"/>
          <w:noProof/>
          <w:lang w:eastAsia="pt-BR"/>
        </w:rPr>
        <w:drawing>
          <wp:inline distT="0" distB="0" distL="0" distR="0">
            <wp:extent cx="2622550" cy="1980000"/>
            <wp:effectExtent l="0" t="0" r="0" b="0"/>
            <wp:docPr id="32" name="Gráfico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6D0856">
        <w:rPr>
          <w:rFonts w:ascii="Times New Roman" w:hAnsi="Times New Roman"/>
          <w:noProof/>
          <w:lang w:eastAsia="pt-BR"/>
        </w:rPr>
        <w:drawing>
          <wp:inline distT="0" distB="0" distL="0" distR="0">
            <wp:extent cx="2622550" cy="1980000"/>
            <wp:effectExtent l="0" t="0" r="0" b="0"/>
            <wp:docPr id="31" name="Gráfico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D0856" w:rsidRPr="00526AA2" w:rsidRDefault="00026642" w:rsidP="00753FA3">
      <w:pPr>
        <w:spacing w:line="480" w:lineRule="auto"/>
        <w:ind w:right="-1"/>
        <w:rPr>
          <w:rFonts w:ascii="Times New Roman" w:hAnsi="Times New Roman"/>
        </w:rPr>
      </w:pPr>
      <w:r w:rsidRPr="00026642">
        <w:rPr>
          <w:rFonts w:ascii="Times New Roman" w:hAnsi="Times New Roman"/>
          <w:b/>
          <w:noProof/>
          <w:sz w:val="24"/>
          <w:szCs w:val="24"/>
          <w:lang w:eastAsia="pt-BR"/>
        </w:rPr>
        <w:pict>
          <v:shape id="_x0000_s1040" type="#_x0000_t202" style="position:absolute;margin-left:206.65pt;margin-top:-21.85pt;width:26.05pt;height:24.35pt;z-index:251675648;mso-width-relative:margin;mso-height-relative:margin" stroked="f">
            <v:fill opacity="0"/>
            <v:textbox style="mso-next-textbox:#_x0000_s1040">
              <w:txbxContent>
                <w:p w:rsidR="006D0856" w:rsidRPr="004278F2" w:rsidRDefault="006D0856" w:rsidP="006D0856">
                  <w:pPr>
                    <w:rPr>
                      <w:rFonts w:ascii="Times New Roman" w:hAnsi="Times New Roman"/>
                    </w:rPr>
                  </w:pPr>
                  <w:r>
                    <w:rPr>
                      <w:rFonts w:ascii="Times New Roman" w:hAnsi="Times New Roman"/>
                    </w:rPr>
                    <w:t>D.</w:t>
                  </w:r>
                </w:p>
              </w:txbxContent>
            </v:textbox>
          </v:shape>
        </w:pict>
      </w:r>
      <w:r w:rsidRPr="00026642">
        <w:rPr>
          <w:rFonts w:ascii="Times New Roman" w:hAnsi="Times New Roman"/>
          <w:noProof/>
          <w:sz w:val="24"/>
          <w:szCs w:val="24"/>
          <w:lang w:eastAsia="pt-BR"/>
        </w:rPr>
        <w:pict>
          <v:shape id="_x0000_s1039" type="#_x0000_t202" style="position:absolute;margin-left:13.1pt;margin-top:-21.85pt;width:26.05pt;height:24.35pt;z-index:251674624;mso-width-relative:margin;mso-height-relative:margin" stroked="f">
            <v:fill opacity="0"/>
            <v:textbox style="mso-next-textbox:#_x0000_s1039">
              <w:txbxContent>
                <w:p w:rsidR="006D0856" w:rsidRPr="004278F2" w:rsidRDefault="006D0856" w:rsidP="006D0856">
                  <w:pPr>
                    <w:rPr>
                      <w:rFonts w:ascii="Times New Roman" w:hAnsi="Times New Roman"/>
                    </w:rPr>
                  </w:pPr>
                  <w:r>
                    <w:rPr>
                      <w:rFonts w:ascii="Times New Roman" w:hAnsi="Times New Roman"/>
                    </w:rPr>
                    <w:t>C.</w:t>
                  </w:r>
                </w:p>
              </w:txbxContent>
            </v:textbox>
          </v:shape>
        </w:pict>
      </w:r>
      <w:r w:rsidR="006D0856">
        <w:rPr>
          <w:rFonts w:ascii="Times New Roman" w:hAnsi="Times New Roman"/>
          <w:noProof/>
          <w:lang w:eastAsia="pt-BR"/>
        </w:rPr>
        <w:drawing>
          <wp:inline distT="0" distB="0" distL="0" distR="0">
            <wp:extent cx="2641600" cy="1981200"/>
            <wp:effectExtent l="0" t="0" r="0" b="0"/>
            <wp:docPr id="30" name="Gráfico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6D0856">
        <w:rPr>
          <w:rFonts w:ascii="Times New Roman" w:hAnsi="Times New Roman"/>
          <w:noProof/>
          <w:lang w:eastAsia="pt-BR"/>
        </w:rPr>
        <w:drawing>
          <wp:inline distT="0" distB="0" distL="0" distR="0">
            <wp:extent cx="2622550" cy="1981200"/>
            <wp:effectExtent l="0" t="0" r="0" b="0"/>
            <wp:docPr id="29" name="Gráfico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D0856" w:rsidRPr="001358F5" w:rsidRDefault="006D0856" w:rsidP="00753FA3">
      <w:pPr>
        <w:spacing w:line="480" w:lineRule="auto"/>
        <w:ind w:right="-1"/>
        <w:rPr>
          <w:rFonts w:ascii="Times New Roman" w:hAnsi="Times New Roman"/>
          <w:noProof/>
          <w:sz w:val="24"/>
          <w:szCs w:val="24"/>
          <w:lang w:val="en-US" w:eastAsia="pt-BR"/>
        </w:rPr>
      </w:pPr>
      <w:r w:rsidRPr="000928AE">
        <w:rPr>
          <w:rFonts w:ascii="Times New Roman" w:hAnsi="Times New Roman"/>
          <w:b/>
          <w:sz w:val="24"/>
          <w:szCs w:val="24"/>
        </w:rPr>
        <w:t>Figur</w:t>
      </w:r>
      <w:r w:rsidR="00E00022">
        <w:rPr>
          <w:rFonts w:ascii="Times New Roman" w:hAnsi="Times New Roman"/>
          <w:b/>
          <w:sz w:val="24"/>
          <w:szCs w:val="24"/>
        </w:rPr>
        <w:t>e</w:t>
      </w:r>
      <w:r w:rsidRPr="000928AE">
        <w:rPr>
          <w:rFonts w:ascii="Times New Roman" w:hAnsi="Times New Roman"/>
          <w:b/>
          <w:sz w:val="24"/>
          <w:szCs w:val="24"/>
        </w:rPr>
        <w:t xml:space="preserve">6. </w:t>
      </w:r>
      <w:r w:rsidR="001358F5" w:rsidRPr="001358F5">
        <w:rPr>
          <w:rStyle w:val="hps"/>
          <w:rFonts w:ascii="Times New Roman" w:hAnsi="Times New Roman"/>
          <w:sz w:val="24"/>
          <w:szCs w:val="24"/>
          <w:lang w:val="en-US"/>
        </w:rPr>
        <w:t>Potential</w:t>
      </w:r>
      <w:r w:rsidR="001358F5" w:rsidRPr="001358F5">
        <w:rPr>
          <w:rStyle w:val="longtext"/>
          <w:rFonts w:ascii="Times New Roman" w:hAnsi="Times New Roman"/>
          <w:sz w:val="24"/>
          <w:szCs w:val="24"/>
          <w:lang w:val="en-US"/>
        </w:rPr>
        <w:t xml:space="preserve"> </w:t>
      </w:r>
      <w:r w:rsidR="001358F5" w:rsidRPr="001358F5">
        <w:rPr>
          <w:rStyle w:val="hps"/>
          <w:rFonts w:ascii="Times New Roman" w:hAnsi="Times New Roman"/>
          <w:sz w:val="24"/>
          <w:szCs w:val="24"/>
          <w:lang w:val="en-US"/>
        </w:rPr>
        <w:t>Evapotranspiration</w:t>
      </w:r>
      <w:r w:rsidR="001358F5" w:rsidRPr="001358F5">
        <w:rPr>
          <w:rStyle w:val="longtext"/>
          <w:rFonts w:ascii="Times New Roman" w:hAnsi="Times New Roman"/>
          <w:sz w:val="24"/>
          <w:szCs w:val="24"/>
          <w:lang w:val="en-US"/>
        </w:rPr>
        <w:t xml:space="preserve"> </w:t>
      </w:r>
      <w:r w:rsidR="001358F5" w:rsidRPr="001358F5">
        <w:rPr>
          <w:rStyle w:val="hps"/>
          <w:rFonts w:ascii="Times New Roman" w:hAnsi="Times New Roman"/>
          <w:sz w:val="24"/>
          <w:szCs w:val="24"/>
          <w:lang w:val="en-US"/>
        </w:rPr>
        <w:t>years</w:t>
      </w:r>
      <w:r w:rsidR="001358F5" w:rsidRPr="001358F5">
        <w:rPr>
          <w:rStyle w:val="longtext"/>
          <w:rFonts w:ascii="Times New Roman" w:hAnsi="Times New Roman"/>
          <w:sz w:val="24"/>
          <w:szCs w:val="24"/>
          <w:lang w:val="en-US"/>
        </w:rPr>
        <w:t xml:space="preserve"> </w:t>
      </w:r>
      <w:r w:rsidR="001358F5" w:rsidRPr="001358F5">
        <w:rPr>
          <w:rStyle w:val="hps"/>
          <w:rFonts w:ascii="Times New Roman" w:hAnsi="Times New Roman"/>
          <w:sz w:val="24"/>
          <w:szCs w:val="24"/>
          <w:lang w:val="en-US"/>
        </w:rPr>
        <w:t>of</w:t>
      </w:r>
      <w:r w:rsidR="001358F5" w:rsidRPr="001358F5">
        <w:rPr>
          <w:rStyle w:val="longtext"/>
          <w:rFonts w:ascii="Times New Roman" w:hAnsi="Times New Roman"/>
          <w:sz w:val="24"/>
          <w:szCs w:val="24"/>
          <w:lang w:val="en-US"/>
        </w:rPr>
        <w:t xml:space="preserve"> </w:t>
      </w:r>
      <w:r w:rsidR="001358F5" w:rsidRPr="001358F5">
        <w:rPr>
          <w:rStyle w:val="hps"/>
          <w:rFonts w:ascii="Times New Roman" w:hAnsi="Times New Roman"/>
          <w:sz w:val="24"/>
          <w:szCs w:val="24"/>
          <w:lang w:val="en-US"/>
        </w:rPr>
        <w:t>regular</w:t>
      </w:r>
      <w:r w:rsidR="001358F5" w:rsidRPr="001358F5">
        <w:rPr>
          <w:rStyle w:val="longtext"/>
          <w:rFonts w:ascii="Times New Roman" w:hAnsi="Times New Roman"/>
          <w:sz w:val="24"/>
          <w:szCs w:val="24"/>
          <w:lang w:val="en-US"/>
        </w:rPr>
        <w:t xml:space="preserve"> </w:t>
      </w:r>
      <w:r w:rsidR="001358F5" w:rsidRPr="001358F5">
        <w:rPr>
          <w:rStyle w:val="hps"/>
          <w:rFonts w:ascii="Times New Roman" w:hAnsi="Times New Roman"/>
          <w:sz w:val="24"/>
          <w:szCs w:val="24"/>
          <w:lang w:val="en-US"/>
        </w:rPr>
        <w:t>rainfall</w:t>
      </w:r>
      <w:r w:rsidR="001358F5" w:rsidRPr="001358F5">
        <w:rPr>
          <w:rStyle w:val="longtext"/>
          <w:rFonts w:ascii="Times New Roman" w:hAnsi="Times New Roman"/>
          <w:sz w:val="24"/>
          <w:szCs w:val="24"/>
          <w:lang w:val="en-US"/>
        </w:rPr>
        <w:t xml:space="preserve">: </w:t>
      </w:r>
      <w:r w:rsidR="001358F5" w:rsidRPr="001358F5">
        <w:rPr>
          <w:rFonts w:ascii="Times New Roman" w:hAnsi="Times New Roman"/>
          <w:sz w:val="24"/>
          <w:szCs w:val="24"/>
          <w:lang w:val="en-US"/>
        </w:rPr>
        <w:t xml:space="preserve">Zone of Forest </w:t>
      </w:r>
      <w:r w:rsidR="001358F5" w:rsidRPr="001358F5">
        <w:rPr>
          <w:rStyle w:val="hps"/>
          <w:rFonts w:ascii="Times New Roman" w:hAnsi="Times New Roman"/>
          <w:sz w:val="24"/>
          <w:szCs w:val="24"/>
          <w:lang w:val="en-US"/>
        </w:rPr>
        <w:t xml:space="preserve"> </w:t>
      </w:r>
      <w:r w:rsidR="001358F5" w:rsidRPr="001358F5">
        <w:rPr>
          <w:rFonts w:ascii="Times New Roman" w:hAnsi="Times New Roman"/>
          <w:sz w:val="24"/>
          <w:szCs w:val="24"/>
          <w:lang w:val="en-US"/>
        </w:rPr>
        <w:t xml:space="preserve"> </w:t>
      </w:r>
      <w:r w:rsidR="001358F5" w:rsidRPr="001358F5">
        <w:rPr>
          <w:rStyle w:val="hps"/>
          <w:rFonts w:ascii="Times New Roman" w:hAnsi="Times New Roman"/>
          <w:sz w:val="24"/>
          <w:szCs w:val="24"/>
          <w:lang w:val="en-US"/>
        </w:rPr>
        <w:t>(A),</w:t>
      </w:r>
      <w:r w:rsidR="001358F5" w:rsidRPr="001358F5">
        <w:rPr>
          <w:rFonts w:ascii="Times New Roman" w:hAnsi="Times New Roman"/>
          <w:sz w:val="24"/>
          <w:szCs w:val="24"/>
          <w:lang w:val="en-US"/>
        </w:rPr>
        <w:t xml:space="preserve"> </w:t>
      </w:r>
      <w:proofErr w:type="spellStart"/>
      <w:r w:rsidR="001358F5" w:rsidRPr="001358F5">
        <w:rPr>
          <w:rStyle w:val="hps"/>
          <w:rFonts w:ascii="Times New Roman" w:hAnsi="Times New Roman"/>
          <w:sz w:val="24"/>
          <w:szCs w:val="24"/>
          <w:lang w:val="en-US"/>
        </w:rPr>
        <w:t>Agreste</w:t>
      </w:r>
      <w:proofErr w:type="spellEnd"/>
      <w:r w:rsidR="001358F5" w:rsidRPr="001358F5">
        <w:rPr>
          <w:rFonts w:ascii="Times New Roman" w:hAnsi="Times New Roman"/>
          <w:sz w:val="24"/>
          <w:szCs w:val="24"/>
          <w:lang w:val="en-US"/>
        </w:rPr>
        <w:t xml:space="preserve"> </w:t>
      </w:r>
      <w:r w:rsidR="001358F5" w:rsidRPr="001358F5">
        <w:rPr>
          <w:rStyle w:val="hps"/>
          <w:rFonts w:ascii="Times New Roman" w:hAnsi="Times New Roman"/>
          <w:sz w:val="24"/>
          <w:szCs w:val="24"/>
          <w:lang w:val="en-US"/>
        </w:rPr>
        <w:t>(B),</w:t>
      </w:r>
      <w:r w:rsidR="001358F5" w:rsidRPr="001358F5">
        <w:rPr>
          <w:rFonts w:ascii="Times New Roman" w:hAnsi="Times New Roman"/>
          <w:sz w:val="24"/>
          <w:szCs w:val="24"/>
          <w:lang w:val="en-US"/>
        </w:rPr>
        <w:t xml:space="preserve"> </w:t>
      </w:r>
      <w:proofErr w:type="spellStart"/>
      <w:r w:rsidR="001358F5" w:rsidRPr="001358F5">
        <w:rPr>
          <w:rStyle w:val="hps"/>
          <w:rFonts w:ascii="Times New Roman" w:hAnsi="Times New Roman"/>
          <w:sz w:val="24"/>
          <w:szCs w:val="24"/>
          <w:lang w:val="en-US"/>
        </w:rPr>
        <w:t>Sertão</w:t>
      </w:r>
      <w:proofErr w:type="spellEnd"/>
      <w:r w:rsidR="001358F5" w:rsidRPr="001358F5">
        <w:rPr>
          <w:rFonts w:ascii="Times New Roman" w:hAnsi="Times New Roman"/>
          <w:sz w:val="24"/>
          <w:szCs w:val="24"/>
          <w:lang w:val="en-US"/>
        </w:rPr>
        <w:t xml:space="preserve"> </w:t>
      </w:r>
      <w:r w:rsidR="001358F5" w:rsidRPr="001358F5">
        <w:rPr>
          <w:rStyle w:val="hps"/>
          <w:rFonts w:ascii="Times New Roman" w:hAnsi="Times New Roman"/>
          <w:sz w:val="24"/>
          <w:szCs w:val="24"/>
          <w:lang w:val="en-US"/>
        </w:rPr>
        <w:t>(C) and</w:t>
      </w:r>
      <w:r w:rsidR="001358F5" w:rsidRPr="001358F5">
        <w:rPr>
          <w:rFonts w:ascii="Times New Roman" w:hAnsi="Times New Roman"/>
          <w:sz w:val="24"/>
          <w:szCs w:val="24"/>
          <w:lang w:val="en-US"/>
        </w:rPr>
        <w:t xml:space="preserve"> </w:t>
      </w:r>
      <w:proofErr w:type="spellStart"/>
      <w:r w:rsidR="001358F5" w:rsidRPr="001358F5">
        <w:rPr>
          <w:rStyle w:val="hps"/>
          <w:rFonts w:ascii="Times New Roman" w:hAnsi="Times New Roman"/>
          <w:sz w:val="24"/>
          <w:szCs w:val="24"/>
          <w:lang w:val="en-US"/>
        </w:rPr>
        <w:t>Sertão</w:t>
      </w:r>
      <w:proofErr w:type="spellEnd"/>
      <w:r w:rsidR="001358F5" w:rsidRPr="001358F5">
        <w:rPr>
          <w:rStyle w:val="hps"/>
          <w:rFonts w:ascii="Times New Roman" w:hAnsi="Times New Roman"/>
          <w:sz w:val="24"/>
          <w:szCs w:val="24"/>
          <w:lang w:val="en-US"/>
        </w:rPr>
        <w:t xml:space="preserve"> of</w:t>
      </w:r>
      <w:r w:rsidR="001358F5" w:rsidRPr="001358F5">
        <w:rPr>
          <w:rFonts w:ascii="Times New Roman" w:hAnsi="Times New Roman"/>
          <w:sz w:val="24"/>
          <w:szCs w:val="24"/>
          <w:lang w:val="en-US"/>
        </w:rPr>
        <w:t xml:space="preserve"> </w:t>
      </w:r>
      <w:r w:rsidR="001358F5" w:rsidRPr="001358F5">
        <w:rPr>
          <w:rStyle w:val="hps"/>
          <w:rFonts w:ascii="Times New Roman" w:hAnsi="Times New Roman"/>
          <w:sz w:val="24"/>
          <w:szCs w:val="24"/>
          <w:lang w:val="en-US"/>
        </w:rPr>
        <w:t>San Francisco (D)</w:t>
      </w:r>
      <w:r w:rsidR="001358F5" w:rsidRPr="001358F5">
        <w:rPr>
          <w:rFonts w:ascii="Times New Roman" w:hAnsi="Times New Roman"/>
          <w:noProof/>
          <w:sz w:val="24"/>
          <w:szCs w:val="24"/>
          <w:lang w:val="en-US" w:eastAsia="pt-BR"/>
        </w:rPr>
        <w:t>.</w:t>
      </w:r>
    </w:p>
    <w:p w:rsidR="006D0856" w:rsidRDefault="006D0856" w:rsidP="00753FA3">
      <w:pPr>
        <w:spacing w:line="480" w:lineRule="auto"/>
        <w:ind w:right="-1"/>
        <w:jc w:val="both"/>
        <w:rPr>
          <w:rFonts w:ascii="Times New Roman" w:hAnsi="Times New Roman"/>
          <w:noProof/>
          <w:sz w:val="24"/>
          <w:szCs w:val="24"/>
          <w:lang w:eastAsia="pt-BR"/>
        </w:rPr>
      </w:pPr>
      <w:r w:rsidRPr="001358F5">
        <w:rPr>
          <w:rFonts w:ascii="Times New Roman" w:hAnsi="Times New Roman"/>
          <w:noProof/>
          <w:sz w:val="24"/>
          <w:szCs w:val="24"/>
          <w:lang w:val="en-US" w:eastAsia="pt-BR"/>
        </w:rPr>
        <w:lastRenderedPageBreak/>
        <w:tab/>
      </w:r>
      <w:r>
        <w:rPr>
          <w:rFonts w:ascii="Times New Roman" w:hAnsi="Times New Roman"/>
          <w:noProof/>
          <w:sz w:val="24"/>
          <w:szCs w:val="24"/>
          <w:lang w:eastAsia="pt-BR"/>
        </w:rPr>
        <w:t>A figura 7</w:t>
      </w:r>
      <w:r w:rsidRPr="00526AA2">
        <w:rPr>
          <w:rFonts w:ascii="Times New Roman" w:hAnsi="Times New Roman"/>
          <w:noProof/>
          <w:sz w:val="24"/>
          <w:szCs w:val="24"/>
          <w:lang w:eastAsia="pt-BR"/>
        </w:rPr>
        <w:t>A  mostra a distribuição espacial do regime pluviométrico do Estado, a mesorregião da Zona da Mata apresentou os maiores indices de pluviosidade com variação entre 2300 a 1800 mm ano</w:t>
      </w:r>
      <w:r w:rsidRPr="00526AA2">
        <w:rPr>
          <w:rFonts w:ascii="Times New Roman" w:hAnsi="Times New Roman"/>
          <w:noProof/>
          <w:sz w:val="24"/>
          <w:szCs w:val="24"/>
          <w:vertAlign w:val="superscript"/>
          <w:lang w:eastAsia="pt-BR"/>
        </w:rPr>
        <w:t>-1</w:t>
      </w:r>
      <w:r>
        <w:rPr>
          <w:rFonts w:ascii="Times New Roman" w:hAnsi="Times New Roman"/>
          <w:noProof/>
          <w:sz w:val="24"/>
          <w:szCs w:val="24"/>
          <w:lang w:eastAsia="pt-BR"/>
        </w:rPr>
        <w:t>.</w:t>
      </w:r>
      <w:r w:rsidRPr="00526AA2">
        <w:rPr>
          <w:rFonts w:ascii="Times New Roman" w:hAnsi="Times New Roman"/>
          <w:noProof/>
          <w:sz w:val="24"/>
          <w:szCs w:val="24"/>
          <w:lang w:eastAsia="pt-BR"/>
        </w:rPr>
        <w:t xml:space="preserve"> A evapotranspiração potencial atingiu níveis elevados  na messoregião do Sertão  e Sertão do São Francisco com 1300 e 1400 mm ano</w:t>
      </w:r>
      <w:r w:rsidRPr="00526AA2">
        <w:rPr>
          <w:rFonts w:ascii="Times New Roman" w:hAnsi="Times New Roman"/>
          <w:noProof/>
          <w:sz w:val="24"/>
          <w:szCs w:val="24"/>
          <w:vertAlign w:val="superscript"/>
          <w:lang w:eastAsia="pt-BR"/>
        </w:rPr>
        <w:t>-1</w:t>
      </w:r>
      <w:r w:rsidRPr="00526AA2">
        <w:rPr>
          <w:rFonts w:ascii="Times New Roman" w:hAnsi="Times New Roman"/>
          <w:noProof/>
          <w:sz w:val="24"/>
          <w:szCs w:val="24"/>
          <w:lang w:eastAsia="pt-BR"/>
        </w:rPr>
        <w:t xml:space="preserve"> , respectivamente os menores valores foram encontrados no Agreste meridional devido a baixas temperaturas e elevadas altitudes na região</w:t>
      </w:r>
      <w:r>
        <w:rPr>
          <w:rFonts w:ascii="Times New Roman" w:hAnsi="Times New Roman"/>
          <w:noProof/>
          <w:sz w:val="24"/>
          <w:szCs w:val="24"/>
          <w:lang w:eastAsia="pt-BR"/>
        </w:rPr>
        <w:t xml:space="preserve"> (Figura 7</w:t>
      </w:r>
      <w:r w:rsidRPr="00526AA2">
        <w:rPr>
          <w:rFonts w:ascii="Times New Roman" w:hAnsi="Times New Roman"/>
          <w:noProof/>
          <w:sz w:val="24"/>
          <w:szCs w:val="24"/>
          <w:lang w:eastAsia="pt-BR"/>
        </w:rPr>
        <w:t>B), sendo prop</w:t>
      </w:r>
      <w:r>
        <w:rPr>
          <w:rFonts w:ascii="Times New Roman" w:hAnsi="Times New Roman"/>
          <w:noProof/>
          <w:sz w:val="24"/>
          <w:szCs w:val="24"/>
          <w:lang w:eastAsia="pt-BR"/>
        </w:rPr>
        <w:t>í</w:t>
      </w:r>
      <w:r w:rsidRPr="00526AA2">
        <w:rPr>
          <w:rFonts w:ascii="Times New Roman" w:hAnsi="Times New Roman"/>
          <w:noProof/>
          <w:sz w:val="24"/>
          <w:szCs w:val="24"/>
          <w:lang w:eastAsia="pt-BR"/>
        </w:rPr>
        <w:t>cio para o desenvolvimento de  plantas sens</w:t>
      </w:r>
      <w:r>
        <w:rPr>
          <w:rFonts w:ascii="Times New Roman" w:hAnsi="Times New Roman"/>
          <w:noProof/>
          <w:sz w:val="24"/>
          <w:szCs w:val="24"/>
          <w:lang w:eastAsia="pt-BR"/>
        </w:rPr>
        <w:t>í</w:t>
      </w:r>
      <w:r w:rsidRPr="00526AA2">
        <w:rPr>
          <w:rFonts w:ascii="Times New Roman" w:hAnsi="Times New Roman"/>
          <w:noProof/>
          <w:sz w:val="24"/>
          <w:szCs w:val="24"/>
          <w:lang w:eastAsia="pt-BR"/>
        </w:rPr>
        <w:t>veis a temperaturas elevadas como afirmado por M</w:t>
      </w:r>
      <w:r w:rsidR="003017D0" w:rsidRPr="00526AA2">
        <w:rPr>
          <w:rFonts w:ascii="Times New Roman" w:hAnsi="Times New Roman"/>
          <w:noProof/>
          <w:sz w:val="24"/>
          <w:szCs w:val="24"/>
          <w:lang w:eastAsia="pt-BR"/>
        </w:rPr>
        <w:t>EDEIROS</w:t>
      </w:r>
      <w:r w:rsidRPr="00526AA2">
        <w:rPr>
          <w:rFonts w:ascii="Times New Roman" w:hAnsi="Times New Roman"/>
          <w:noProof/>
          <w:sz w:val="24"/>
          <w:szCs w:val="24"/>
          <w:lang w:eastAsia="pt-BR"/>
        </w:rPr>
        <w:t xml:space="preserve"> et al. (2009) trabalhando com zoneamento da </w:t>
      </w:r>
      <w:r w:rsidRPr="00526AA2">
        <w:rPr>
          <w:rFonts w:ascii="Times New Roman" w:hAnsi="Times New Roman"/>
          <w:i/>
          <w:noProof/>
          <w:sz w:val="24"/>
          <w:szCs w:val="24"/>
          <w:lang w:eastAsia="pt-BR"/>
        </w:rPr>
        <w:t>Alpinia purpurata</w:t>
      </w:r>
      <w:r w:rsidRPr="00526AA2">
        <w:rPr>
          <w:rFonts w:ascii="Times New Roman" w:hAnsi="Times New Roman"/>
          <w:noProof/>
          <w:sz w:val="24"/>
          <w:szCs w:val="24"/>
          <w:lang w:eastAsia="pt-BR"/>
        </w:rPr>
        <w:t xml:space="preserve">  para o Estado. A distribuição espacial da evapotranspiração real apresentou indices elevados na Zona da Mata com 1200 mm ano</w:t>
      </w:r>
      <w:r w:rsidRPr="00526AA2">
        <w:rPr>
          <w:rFonts w:ascii="Times New Roman" w:hAnsi="Times New Roman"/>
          <w:noProof/>
          <w:sz w:val="24"/>
          <w:szCs w:val="24"/>
          <w:vertAlign w:val="superscript"/>
          <w:lang w:eastAsia="pt-BR"/>
        </w:rPr>
        <w:t>-1</w:t>
      </w:r>
      <w:r w:rsidRPr="00526AA2">
        <w:rPr>
          <w:rFonts w:ascii="Times New Roman" w:hAnsi="Times New Roman"/>
          <w:noProof/>
          <w:sz w:val="24"/>
          <w:szCs w:val="24"/>
          <w:lang w:eastAsia="pt-BR"/>
        </w:rPr>
        <w:t>,  e valores menores em toda a região do Sertão com 350 mm dia</w:t>
      </w:r>
      <w:r w:rsidRPr="00526AA2">
        <w:rPr>
          <w:rFonts w:ascii="Times New Roman" w:hAnsi="Times New Roman"/>
          <w:noProof/>
          <w:sz w:val="24"/>
          <w:szCs w:val="24"/>
          <w:vertAlign w:val="superscript"/>
          <w:lang w:eastAsia="pt-BR"/>
        </w:rPr>
        <w:t>-1</w:t>
      </w:r>
      <w:r>
        <w:rPr>
          <w:rFonts w:ascii="Times New Roman" w:hAnsi="Times New Roman"/>
          <w:noProof/>
          <w:sz w:val="24"/>
          <w:szCs w:val="24"/>
          <w:lang w:eastAsia="pt-BR"/>
        </w:rPr>
        <w:t xml:space="preserve"> (Figura 7</w:t>
      </w:r>
      <w:r w:rsidRPr="00526AA2">
        <w:rPr>
          <w:rFonts w:ascii="Times New Roman" w:hAnsi="Times New Roman"/>
          <w:noProof/>
          <w:sz w:val="24"/>
          <w:szCs w:val="24"/>
          <w:lang w:eastAsia="pt-BR"/>
        </w:rPr>
        <w:t>C). A maior disponibilidade hídrica</w:t>
      </w:r>
      <w:r>
        <w:rPr>
          <w:rFonts w:ascii="Times New Roman" w:hAnsi="Times New Roman"/>
          <w:noProof/>
          <w:sz w:val="24"/>
          <w:szCs w:val="24"/>
          <w:lang w:eastAsia="pt-BR"/>
        </w:rPr>
        <w:t xml:space="preserve"> (Figura 7D) e excedente hídrico (Figura 7</w:t>
      </w:r>
      <w:r w:rsidRPr="00526AA2">
        <w:rPr>
          <w:rFonts w:ascii="Times New Roman" w:hAnsi="Times New Roman"/>
          <w:noProof/>
          <w:sz w:val="24"/>
          <w:szCs w:val="24"/>
          <w:lang w:eastAsia="pt-BR"/>
        </w:rPr>
        <w:t xml:space="preserve">E) encontra-se na parte Sul da Zona da Mata devido aos elevados </w:t>
      </w:r>
      <w:r>
        <w:rPr>
          <w:rFonts w:ascii="Times New Roman" w:hAnsi="Times New Roman"/>
          <w:noProof/>
          <w:sz w:val="24"/>
          <w:szCs w:val="24"/>
          <w:lang w:eastAsia="pt-BR"/>
        </w:rPr>
        <w:t>í</w:t>
      </w:r>
      <w:r w:rsidRPr="00526AA2">
        <w:rPr>
          <w:rFonts w:ascii="Times New Roman" w:hAnsi="Times New Roman"/>
          <w:noProof/>
          <w:sz w:val="24"/>
          <w:szCs w:val="24"/>
          <w:lang w:eastAsia="pt-BR"/>
        </w:rPr>
        <w:t>ndices de pluviosidade</w:t>
      </w:r>
      <w:r>
        <w:rPr>
          <w:rFonts w:ascii="Times New Roman" w:hAnsi="Times New Roman"/>
          <w:noProof/>
          <w:sz w:val="24"/>
          <w:szCs w:val="24"/>
          <w:lang w:eastAsia="pt-BR"/>
        </w:rPr>
        <w:t>,</w:t>
      </w:r>
      <w:r w:rsidRPr="00526AA2">
        <w:rPr>
          <w:rFonts w:ascii="Times New Roman" w:hAnsi="Times New Roman"/>
          <w:noProof/>
          <w:sz w:val="24"/>
          <w:szCs w:val="24"/>
          <w:lang w:eastAsia="pt-BR"/>
        </w:rPr>
        <w:t xml:space="preserve"> estimulando o cultivo em sequeiro</w:t>
      </w:r>
      <w:r>
        <w:rPr>
          <w:rFonts w:ascii="Times New Roman" w:hAnsi="Times New Roman"/>
          <w:noProof/>
          <w:sz w:val="24"/>
          <w:szCs w:val="24"/>
          <w:lang w:eastAsia="pt-BR"/>
        </w:rPr>
        <w:t xml:space="preserve"> como indicado por S</w:t>
      </w:r>
      <w:r w:rsidR="003017D0">
        <w:rPr>
          <w:rFonts w:ascii="Times New Roman" w:hAnsi="Times New Roman"/>
          <w:noProof/>
          <w:sz w:val="24"/>
          <w:szCs w:val="24"/>
          <w:lang w:eastAsia="pt-BR"/>
        </w:rPr>
        <w:t>ILVA</w:t>
      </w:r>
      <w:r>
        <w:rPr>
          <w:rFonts w:ascii="Times New Roman" w:hAnsi="Times New Roman"/>
          <w:noProof/>
          <w:sz w:val="24"/>
          <w:szCs w:val="24"/>
          <w:lang w:eastAsia="pt-BR"/>
        </w:rPr>
        <w:t xml:space="preserve"> et al.</w:t>
      </w:r>
      <w:r w:rsidRPr="00526AA2">
        <w:rPr>
          <w:rFonts w:ascii="Times New Roman" w:hAnsi="Times New Roman"/>
          <w:noProof/>
          <w:sz w:val="24"/>
          <w:szCs w:val="24"/>
          <w:lang w:eastAsia="pt-BR"/>
        </w:rPr>
        <w:t xml:space="preserve"> (2011) trabalhando com o zoneamento da cultura da pitangueira para o Estado. O d</w:t>
      </w:r>
      <w:r>
        <w:rPr>
          <w:rFonts w:ascii="Times New Roman" w:hAnsi="Times New Roman"/>
          <w:noProof/>
          <w:sz w:val="24"/>
          <w:szCs w:val="24"/>
          <w:lang w:eastAsia="pt-BR"/>
        </w:rPr>
        <w:t>éficit hídrico (Figura 7</w:t>
      </w:r>
      <w:r w:rsidRPr="00526AA2">
        <w:rPr>
          <w:rFonts w:ascii="Times New Roman" w:hAnsi="Times New Roman"/>
          <w:noProof/>
          <w:sz w:val="24"/>
          <w:szCs w:val="24"/>
          <w:lang w:eastAsia="pt-BR"/>
        </w:rPr>
        <w:t>F) apresentou-se maior no Sertão do São Francisco e Sertão alcançando os 1000 mm ano</w:t>
      </w:r>
      <w:r w:rsidRPr="00526AA2">
        <w:rPr>
          <w:rFonts w:ascii="Times New Roman" w:hAnsi="Times New Roman"/>
          <w:noProof/>
          <w:sz w:val="24"/>
          <w:szCs w:val="24"/>
          <w:vertAlign w:val="superscript"/>
          <w:lang w:eastAsia="pt-BR"/>
        </w:rPr>
        <w:t>-1</w:t>
      </w:r>
      <w:r w:rsidRPr="00526AA2">
        <w:rPr>
          <w:rFonts w:ascii="Times New Roman" w:hAnsi="Times New Roman"/>
          <w:noProof/>
          <w:sz w:val="24"/>
          <w:szCs w:val="24"/>
          <w:lang w:eastAsia="pt-BR"/>
        </w:rPr>
        <w:t>, sendo necess</w:t>
      </w:r>
      <w:r>
        <w:rPr>
          <w:rFonts w:ascii="Times New Roman" w:hAnsi="Times New Roman"/>
          <w:noProof/>
          <w:sz w:val="24"/>
          <w:szCs w:val="24"/>
          <w:lang w:eastAsia="pt-BR"/>
        </w:rPr>
        <w:t>á</w:t>
      </w:r>
      <w:r w:rsidRPr="00526AA2">
        <w:rPr>
          <w:rFonts w:ascii="Times New Roman" w:hAnsi="Times New Roman"/>
          <w:noProof/>
          <w:sz w:val="24"/>
          <w:szCs w:val="24"/>
          <w:lang w:eastAsia="pt-BR"/>
        </w:rPr>
        <w:t xml:space="preserve">rio irrigação praticamente o ano todo nestas regiões. </w:t>
      </w:r>
    </w:p>
    <w:p w:rsidR="006D0856" w:rsidRPr="00526AA2" w:rsidRDefault="00664301" w:rsidP="00753FA3">
      <w:pPr>
        <w:spacing w:line="480" w:lineRule="auto"/>
        <w:ind w:right="-1"/>
        <w:jc w:val="both"/>
        <w:rPr>
          <w:rFonts w:ascii="Times New Roman" w:hAnsi="Times New Roman"/>
          <w:noProof/>
          <w:sz w:val="24"/>
          <w:szCs w:val="24"/>
          <w:lang w:eastAsia="pt-BR"/>
        </w:rPr>
      </w:pPr>
      <w:r>
        <w:rPr>
          <w:rFonts w:ascii="Times New Roman" w:hAnsi="Times New Roman"/>
          <w:noProof/>
          <w:sz w:val="24"/>
          <w:szCs w:val="24"/>
          <w:lang w:eastAsia="pt-BR"/>
        </w:rPr>
        <w:lastRenderedPageBreak/>
        <w:drawing>
          <wp:inline distT="0" distB="0" distL="0" distR="0">
            <wp:extent cx="5400040" cy="3418205"/>
            <wp:effectExtent l="19050" t="0" r="0" b="0"/>
            <wp:docPr id="4" name="Imagem 3" descr="f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24" cstate="print"/>
                    <a:stretch>
                      <a:fillRect/>
                    </a:stretch>
                  </pic:blipFill>
                  <pic:spPr>
                    <a:xfrm>
                      <a:off x="0" y="0"/>
                      <a:ext cx="5400040" cy="3418205"/>
                    </a:xfrm>
                    <a:prstGeom prst="rect">
                      <a:avLst/>
                    </a:prstGeom>
                  </pic:spPr>
                </pic:pic>
              </a:graphicData>
            </a:graphic>
          </wp:inline>
        </w:drawing>
      </w:r>
    </w:p>
    <w:p w:rsidR="006D0856" w:rsidRPr="00606F39" w:rsidRDefault="006D0856" w:rsidP="00753FA3">
      <w:pPr>
        <w:autoSpaceDE w:val="0"/>
        <w:autoSpaceDN w:val="0"/>
        <w:adjustRightInd w:val="0"/>
        <w:spacing w:after="0" w:line="480" w:lineRule="auto"/>
        <w:jc w:val="both"/>
        <w:rPr>
          <w:rFonts w:ascii="Times New Roman" w:hAnsi="Times New Roman"/>
          <w:sz w:val="24"/>
          <w:szCs w:val="24"/>
          <w:lang w:val="en-US"/>
        </w:rPr>
      </w:pPr>
      <w:proofErr w:type="gramStart"/>
      <w:r w:rsidRPr="00E354FE">
        <w:rPr>
          <w:rFonts w:ascii="Times New Roman" w:hAnsi="Times New Roman"/>
          <w:b/>
          <w:sz w:val="24"/>
          <w:szCs w:val="24"/>
          <w:lang w:val="en-US"/>
        </w:rPr>
        <w:t>Figur</w:t>
      </w:r>
      <w:r w:rsidR="00E00022" w:rsidRPr="00E354FE">
        <w:rPr>
          <w:rFonts w:ascii="Times New Roman" w:hAnsi="Times New Roman"/>
          <w:b/>
          <w:sz w:val="24"/>
          <w:szCs w:val="24"/>
          <w:lang w:val="en-US"/>
        </w:rPr>
        <w:t>e</w:t>
      </w:r>
      <w:r w:rsidRPr="00E354FE">
        <w:rPr>
          <w:rFonts w:ascii="Times New Roman" w:hAnsi="Times New Roman"/>
          <w:b/>
          <w:sz w:val="24"/>
          <w:szCs w:val="24"/>
          <w:lang w:val="en-US"/>
        </w:rPr>
        <w:t xml:space="preserve"> 7</w:t>
      </w:r>
      <w:r w:rsidRPr="00E354FE">
        <w:rPr>
          <w:rFonts w:ascii="Times New Roman" w:hAnsi="Times New Roman"/>
          <w:sz w:val="24"/>
          <w:szCs w:val="24"/>
          <w:lang w:val="en-US"/>
        </w:rPr>
        <w:t>.</w:t>
      </w:r>
      <w:proofErr w:type="gramEnd"/>
      <w:r w:rsidRPr="00E354FE">
        <w:rPr>
          <w:rFonts w:ascii="Times New Roman" w:hAnsi="Times New Roman"/>
          <w:sz w:val="24"/>
          <w:szCs w:val="24"/>
          <w:lang w:val="en-US"/>
        </w:rPr>
        <w:t xml:space="preserve"> </w:t>
      </w:r>
      <w:r w:rsidR="00606F39" w:rsidRPr="00606F39">
        <w:rPr>
          <w:rStyle w:val="hps"/>
          <w:rFonts w:ascii="Times New Roman" w:hAnsi="Times New Roman"/>
          <w:sz w:val="24"/>
          <w:szCs w:val="24"/>
          <w:lang w:val="en-US"/>
        </w:rPr>
        <w:t>Spatial distributions</w:t>
      </w:r>
      <w:r w:rsidR="00606F39" w:rsidRPr="00606F39">
        <w:rPr>
          <w:rStyle w:val="longtext"/>
          <w:rFonts w:ascii="Times New Roman" w:hAnsi="Times New Roman"/>
          <w:sz w:val="24"/>
          <w:szCs w:val="24"/>
          <w:lang w:val="en-US"/>
        </w:rPr>
        <w:t xml:space="preserve"> </w:t>
      </w:r>
      <w:r w:rsidR="00606F39" w:rsidRPr="00606F39">
        <w:rPr>
          <w:rStyle w:val="hps"/>
          <w:rFonts w:ascii="Times New Roman" w:hAnsi="Times New Roman"/>
          <w:sz w:val="24"/>
          <w:szCs w:val="24"/>
          <w:lang w:val="en-US"/>
        </w:rPr>
        <w:t>of annual precipitation</w:t>
      </w:r>
      <w:r w:rsidR="00606F39" w:rsidRPr="00606F39">
        <w:rPr>
          <w:rStyle w:val="longtext"/>
          <w:rFonts w:ascii="Times New Roman" w:hAnsi="Times New Roman"/>
          <w:sz w:val="24"/>
          <w:szCs w:val="24"/>
          <w:lang w:val="en-US"/>
        </w:rPr>
        <w:t xml:space="preserve"> </w:t>
      </w:r>
      <w:r w:rsidR="00606F39" w:rsidRPr="00606F39">
        <w:rPr>
          <w:rStyle w:val="hps"/>
          <w:rFonts w:ascii="Times New Roman" w:hAnsi="Times New Roman"/>
          <w:sz w:val="24"/>
          <w:szCs w:val="24"/>
          <w:lang w:val="en-US"/>
        </w:rPr>
        <w:t>in Pernambuco (</w:t>
      </w:r>
      <w:r w:rsidR="00606F39" w:rsidRPr="00606F39">
        <w:rPr>
          <w:rStyle w:val="longtext"/>
          <w:rFonts w:ascii="Times New Roman" w:hAnsi="Times New Roman"/>
          <w:sz w:val="24"/>
          <w:szCs w:val="24"/>
          <w:lang w:val="en-US"/>
        </w:rPr>
        <w:t xml:space="preserve">A) </w:t>
      </w:r>
      <w:r w:rsidR="00606F39" w:rsidRPr="00606F39">
        <w:rPr>
          <w:rStyle w:val="hps"/>
          <w:rFonts w:ascii="Times New Roman" w:hAnsi="Times New Roman"/>
          <w:sz w:val="24"/>
          <w:szCs w:val="24"/>
          <w:lang w:val="en-US"/>
        </w:rPr>
        <w:t>Potential evapotranspiration</w:t>
      </w:r>
      <w:r w:rsidR="00606F39" w:rsidRPr="00606F39">
        <w:rPr>
          <w:rStyle w:val="longtext"/>
          <w:rFonts w:ascii="Times New Roman" w:hAnsi="Times New Roman"/>
          <w:sz w:val="24"/>
          <w:szCs w:val="24"/>
          <w:lang w:val="en-US"/>
        </w:rPr>
        <w:t xml:space="preserve"> </w:t>
      </w:r>
      <w:r w:rsidR="00606F39" w:rsidRPr="00606F39">
        <w:rPr>
          <w:rStyle w:val="hps"/>
          <w:rFonts w:ascii="Times New Roman" w:hAnsi="Times New Roman"/>
          <w:sz w:val="24"/>
          <w:szCs w:val="24"/>
          <w:lang w:val="en-US"/>
        </w:rPr>
        <w:t>(</w:t>
      </w:r>
      <w:r w:rsidR="00606F39" w:rsidRPr="00606F39">
        <w:rPr>
          <w:rStyle w:val="longtext"/>
          <w:rFonts w:ascii="Times New Roman" w:hAnsi="Times New Roman"/>
          <w:sz w:val="24"/>
          <w:szCs w:val="24"/>
          <w:lang w:val="en-US"/>
        </w:rPr>
        <w:t xml:space="preserve">B) </w:t>
      </w:r>
      <w:r w:rsidR="00E354FE">
        <w:rPr>
          <w:rStyle w:val="hps"/>
          <w:rFonts w:ascii="Times New Roman" w:hAnsi="Times New Roman"/>
          <w:sz w:val="24"/>
          <w:szCs w:val="24"/>
          <w:lang w:val="en-US"/>
        </w:rPr>
        <w:t>Real</w:t>
      </w:r>
      <w:r w:rsidR="00606F39" w:rsidRPr="00606F39">
        <w:rPr>
          <w:rStyle w:val="hps"/>
          <w:rFonts w:ascii="Times New Roman" w:hAnsi="Times New Roman"/>
          <w:sz w:val="24"/>
          <w:szCs w:val="24"/>
          <w:lang w:val="en-US"/>
        </w:rPr>
        <w:t xml:space="preserve"> evapotranspiration</w:t>
      </w:r>
      <w:r w:rsidR="00606F39" w:rsidRPr="00606F39">
        <w:rPr>
          <w:rStyle w:val="longtext"/>
          <w:rFonts w:ascii="Times New Roman" w:hAnsi="Times New Roman"/>
          <w:sz w:val="24"/>
          <w:szCs w:val="24"/>
          <w:lang w:val="en-US"/>
        </w:rPr>
        <w:t xml:space="preserve"> </w:t>
      </w:r>
      <w:r w:rsidR="00606F39" w:rsidRPr="00606F39">
        <w:rPr>
          <w:rStyle w:val="hps"/>
          <w:rFonts w:ascii="Times New Roman" w:hAnsi="Times New Roman"/>
          <w:sz w:val="24"/>
          <w:szCs w:val="24"/>
          <w:lang w:val="en-US"/>
        </w:rPr>
        <w:t>(C),</w:t>
      </w:r>
      <w:r w:rsidR="00606F39" w:rsidRPr="00606F39">
        <w:rPr>
          <w:rStyle w:val="longtext"/>
          <w:rFonts w:ascii="Times New Roman" w:hAnsi="Times New Roman"/>
          <w:sz w:val="24"/>
          <w:szCs w:val="24"/>
          <w:lang w:val="en-US"/>
        </w:rPr>
        <w:t xml:space="preserve"> </w:t>
      </w:r>
      <w:r w:rsidR="00606F39" w:rsidRPr="00606F39">
        <w:rPr>
          <w:rStyle w:val="hps"/>
          <w:rFonts w:ascii="Times New Roman" w:hAnsi="Times New Roman"/>
          <w:sz w:val="24"/>
          <w:szCs w:val="24"/>
          <w:lang w:val="en-US"/>
        </w:rPr>
        <w:t>water availability (</w:t>
      </w:r>
      <w:r w:rsidR="00606F39">
        <w:rPr>
          <w:rStyle w:val="hps"/>
          <w:rFonts w:ascii="Times New Roman" w:hAnsi="Times New Roman"/>
          <w:sz w:val="24"/>
          <w:szCs w:val="24"/>
          <w:lang w:val="en-US"/>
        </w:rPr>
        <w:t>R</w:t>
      </w:r>
      <w:r w:rsidR="00606F39" w:rsidRPr="00606F39">
        <w:rPr>
          <w:rStyle w:val="longtext"/>
          <w:rFonts w:ascii="Times New Roman" w:hAnsi="Times New Roman"/>
          <w:sz w:val="24"/>
          <w:szCs w:val="24"/>
          <w:lang w:val="en-US"/>
        </w:rPr>
        <w:t xml:space="preserve">ET </w:t>
      </w:r>
      <w:r w:rsidR="00606F39" w:rsidRPr="00606F39">
        <w:rPr>
          <w:rStyle w:val="hps"/>
          <w:rFonts w:ascii="Times New Roman" w:hAnsi="Times New Roman"/>
          <w:sz w:val="24"/>
          <w:szCs w:val="24"/>
          <w:lang w:val="en-US"/>
        </w:rPr>
        <w:t xml:space="preserve">/ </w:t>
      </w:r>
      <w:r w:rsidR="00606F39">
        <w:rPr>
          <w:rStyle w:val="hps"/>
          <w:rFonts w:ascii="Times New Roman" w:hAnsi="Times New Roman"/>
          <w:sz w:val="24"/>
          <w:szCs w:val="24"/>
          <w:lang w:val="en-US"/>
        </w:rPr>
        <w:t>P</w:t>
      </w:r>
      <w:r w:rsidR="00606F39" w:rsidRPr="00606F39">
        <w:rPr>
          <w:rStyle w:val="hps"/>
          <w:rFonts w:ascii="Times New Roman" w:hAnsi="Times New Roman"/>
          <w:sz w:val="24"/>
          <w:szCs w:val="24"/>
          <w:lang w:val="en-US"/>
        </w:rPr>
        <w:t>ET</w:t>
      </w:r>
      <w:r w:rsidR="00606F39" w:rsidRPr="00606F39">
        <w:rPr>
          <w:rStyle w:val="atn"/>
          <w:rFonts w:ascii="Times New Roman" w:hAnsi="Times New Roman"/>
          <w:sz w:val="24"/>
          <w:szCs w:val="24"/>
          <w:lang w:val="en-US"/>
        </w:rPr>
        <w:t>) (</w:t>
      </w:r>
      <w:r w:rsidR="00606F39" w:rsidRPr="00606F39">
        <w:rPr>
          <w:rStyle w:val="longtext"/>
          <w:rFonts w:ascii="Times New Roman" w:hAnsi="Times New Roman"/>
          <w:sz w:val="24"/>
          <w:szCs w:val="24"/>
          <w:lang w:val="en-US"/>
        </w:rPr>
        <w:t xml:space="preserve">D), </w:t>
      </w:r>
      <w:r w:rsidR="00606F39" w:rsidRPr="00606F39">
        <w:rPr>
          <w:rStyle w:val="hps"/>
          <w:rFonts w:ascii="Times New Roman" w:hAnsi="Times New Roman"/>
          <w:sz w:val="24"/>
          <w:szCs w:val="24"/>
          <w:lang w:val="en-US"/>
        </w:rPr>
        <w:t>water</w:t>
      </w:r>
      <w:r w:rsidR="00E354FE">
        <w:rPr>
          <w:rStyle w:val="hps"/>
          <w:rFonts w:ascii="Times New Roman" w:hAnsi="Times New Roman"/>
          <w:sz w:val="24"/>
          <w:szCs w:val="24"/>
          <w:lang w:val="en-US"/>
        </w:rPr>
        <w:t xml:space="preserve"> surplus</w:t>
      </w:r>
      <w:r w:rsidR="00606F39" w:rsidRPr="00606F39">
        <w:rPr>
          <w:rStyle w:val="longtext"/>
          <w:rFonts w:ascii="Times New Roman" w:hAnsi="Times New Roman"/>
          <w:sz w:val="24"/>
          <w:szCs w:val="24"/>
          <w:lang w:val="en-US"/>
        </w:rPr>
        <w:t xml:space="preserve"> </w:t>
      </w:r>
      <w:r w:rsidR="00606F39" w:rsidRPr="00606F39">
        <w:rPr>
          <w:rStyle w:val="hps"/>
          <w:rFonts w:ascii="Times New Roman" w:hAnsi="Times New Roman"/>
          <w:sz w:val="24"/>
          <w:szCs w:val="24"/>
          <w:lang w:val="en-US"/>
        </w:rPr>
        <w:t>(E</w:t>
      </w:r>
      <w:r w:rsidR="00606F39" w:rsidRPr="00606F39">
        <w:rPr>
          <w:rStyle w:val="longtext"/>
          <w:rFonts w:ascii="Times New Roman" w:hAnsi="Times New Roman"/>
          <w:sz w:val="24"/>
          <w:szCs w:val="24"/>
          <w:lang w:val="en-US"/>
        </w:rPr>
        <w:t xml:space="preserve">) and </w:t>
      </w:r>
      <w:r w:rsidR="00606F39" w:rsidRPr="00606F39">
        <w:rPr>
          <w:rStyle w:val="hps"/>
          <w:rFonts w:ascii="Times New Roman" w:hAnsi="Times New Roman"/>
          <w:sz w:val="24"/>
          <w:szCs w:val="24"/>
          <w:lang w:val="en-US"/>
        </w:rPr>
        <w:t>water</w:t>
      </w:r>
      <w:r w:rsidR="00606F39" w:rsidRPr="00606F39">
        <w:rPr>
          <w:rStyle w:val="longtext"/>
          <w:rFonts w:ascii="Times New Roman" w:hAnsi="Times New Roman"/>
          <w:sz w:val="24"/>
          <w:szCs w:val="24"/>
          <w:lang w:val="en-US"/>
        </w:rPr>
        <w:t xml:space="preserve"> </w:t>
      </w:r>
      <w:r w:rsidR="00606F39" w:rsidRPr="00606F39">
        <w:rPr>
          <w:rStyle w:val="hps"/>
          <w:rFonts w:ascii="Times New Roman" w:hAnsi="Times New Roman"/>
          <w:sz w:val="24"/>
          <w:szCs w:val="24"/>
          <w:lang w:val="en-US"/>
        </w:rPr>
        <w:t>deficit</w:t>
      </w:r>
      <w:r w:rsidR="00606F39" w:rsidRPr="00606F39">
        <w:rPr>
          <w:rStyle w:val="longtext"/>
          <w:rFonts w:ascii="Times New Roman" w:hAnsi="Times New Roman"/>
          <w:sz w:val="24"/>
          <w:szCs w:val="24"/>
          <w:lang w:val="en-US"/>
        </w:rPr>
        <w:t xml:space="preserve"> </w:t>
      </w:r>
      <w:r w:rsidR="00606F39" w:rsidRPr="00606F39">
        <w:rPr>
          <w:rStyle w:val="hps"/>
          <w:rFonts w:ascii="Times New Roman" w:hAnsi="Times New Roman"/>
          <w:sz w:val="24"/>
          <w:szCs w:val="24"/>
          <w:lang w:val="en-US"/>
        </w:rPr>
        <w:t>(</w:t>
      </w:r>
      <w:r w:rsidR="00606F39" w:rsidRPr="00606F39">
        <w:rPr>
          <w:rStyle w:val="longtext"/>
          <w:rFonts w:ascii="Times New Roman" w:hAnsi="Times New Roman"/>
          <w:sz w:val="24"/>
          <w:szCs w:val="24"/>
          <w:lang w:val="en-US"/>
        </w:rPr>
        <w:t xml:space="preserve">F) for </w:t>
      </w:r>
      <w:r w:rsidR="00606F39" w:rsidRPr="00606F39">
        <w:rPr>
          <w:rStyle w:val="hps"/>
          <w:rFonts w:ascii="Times New Roman" w:hAnsi="Times New Roman"/>
          <w:sz w:val="24"/>
          <w:szCs w:val="24"/>
          <w:lang w:val="en-US"/>
        </w:rPr>
        <w:t>regular</w:t>
      </w:r>
      <w:r w:rsidR="00606F39" w:rsidRPr="00606F39">
        <w:rPr>
          <w:rStyle w:val="longtext"/>
          <w:rFonts w:ascii="Times New Roman" w:hAnsi="Times New Roman"/>
          <w:sz w:val="24"/>
          <w:szCs w:val="24"/>
          <w:lang w:val="en-US"/>
        </w:rPr>
        <w:t xml:space="preserve"> </w:t>
      </w:r>
      <w:r w:rsidR="00606F39" w:rsidRPr="00606F39">
        <w:rPr>
          <w:rStyle w:val="hps"/>
          <w:rFonts w:ascii="Times New Roman" w:hAnsi="Times New Roman"/>
          <w:sz w:val="24"/>
          <w:szCs w:val="24"/>
          <w:lang w:val="en-US"/>
        </w:rPr>
        <w:t>year</w:t>
      </w:r>
      <w:r w:rsidR="00E354FE">
        <w:rPr>
          <w:rStyle w:val="hps"/>
          <w:rFonts w:ascii="Times New Roman" w:hAnsi="Times New Roman"/>
          <w:sz w:val="24"/>
          <w:szCs w:val="24"/>
          <w:lang w:val="en-US"/>
        </w:rPr>
        <w:t>s</w:t>
      </w:r>
      <w:r w:rsidR="00606F39" w:rsidRPr="00606F39">
        <w:rPr>
          <w:rStyle w:val="longtext"/>
          <w:rFonts w:ascii="Times New Roman" w:hAnsi="Times New Roman"/>
          <w:sz w:val="24"/>
          <w:szCs w:val="24"/>
          <w:lang w:val="en-US"/>
        </w:rPr>
        <w:t>.</w:t>
      </w:r>
    </w:p>
    <w:p w:rsidR="006D0856" w:rsidRPr="00606F39" w:rsidRDefault="006D0856" w:rsidP="00753FA3">
      <w:pPr>
        <w:autoSpaceDE w:val="0"/>
        <w:autoSpaceDN w:val="0"/>
        <w:adjustRightInd w:val="0"/>
        <w:spacing w:after="0" w:line="480" w:lineRule="auto"/>
        <w:jc w:val="both"/>
        <w:rPr>
          <w:rFonts w:ascii="Times New Roman" w:hAnsi="Times New Roman"/>
          <w:sz w:val="24"/>
          <w:szCs w:val="24"/>
          <w:lang w:val="en-US"/>
        </w:rPr>
      </w:pPr>
    </w:p>
    <w:p w:rsidR="006D0856" w:rsidRPr="00526AA2" w:rsidRDefault="006D0856" w:rsidP="00753FA3">
      <w:pPr>
        <w:autoSpaceDE w:val="0"/>
        <w:autoSpaceDN w:val="0"/>
        <w:adjustRightInd w:val="0"/>
        <w:spacing w:after="0" w:line="480" w:lineRule="auto"/>
        <w:jc w:val="both"/>
        <w:rPr>
          <w:rFonts w:ascii="Times New Roman" w:hAnsi="Times New Roman"/>
          <w:b/>
          <w:sz w:val="24"/>
          <w:szCs w:val="24"/>
        </w:rPr>
      </w:pPr>
      <w:r w:rsidRPr="00526AA2">
        <w:rPr>
          <w:rFonts w:ascii="Times New Roman" w:hAnsi="Times New Roman"/>
          <w:b/>
          <w:sz w:val="24"/>
          <w:szCs w:val="24"/>
        </w:rPr>
        <w:t>Anos Secos</w:t>
      </w:r>
    </w:p>
    <w:p w:rsidR="006D0856" w:rsidRPr="00526AA2" w:rsidRDefault="006D0856" w:rsidP="00753FA3">
      <w:pPr>
        <w:autoSpaceDE w:val="0"/>
        <w:autoSpaceDN w:val="0"/>
        <w:adjustRightInd w:val="0"/>
        <w:spacing w:after="0" w:line="480" w:lineRule="auto"/>
        <w:jc w:val="both"/>
        <w:rPr>
          <w:rFonts w:ascii="Times New Roman" w:hAnsi="Times New Roman"/>
          <w:sz w:val="24"/>
          <w:szCs w:val="24"/>
        </w:rPr>
      </w:pPr>
      <w:r w:rsidRPr="00526AA2">
        <w:rPr>
          <w:rFonts w:ascii="Times New Roman" w:hAnsi="Times New Roman"/>
          <w:b/>
          <w:sz w:val="24"/>
          <w:szCs w:val="24"/>
        </w:rPr>
        <w:tab/>
      </w:r>
      <w:r w:rsidRPr="00526AA2">
        <w:rPr>
          <w:rFonts w:ascii="Times New Roman" w:hAnsi="Times New Roman"/>
          <w:sz w:val="24"/>
          <w:szCs w:val="24"/>
        </w:rPr>
        <w:t>O regime de chuvas nos anos secos apresentou para Mesorregião da Zona da Mata os maiores índices de</w:t>
      </w:r>
      <w:r w:rsidRPr="00526AA2">
        <w:rPr>
          <w:rFonts w:ascii="Times New Roman" w:hAnsi="Times New Roman"/>
          <w:b/>
          <w:sz w:val="24"/>
          <w:szCs w:val="24"/>
        </w:rPr>
        <w:t xml:space="preserve"> </w:t>
      </w:r>
      <w:r w:rsidRPr="00526AA2">
        <w:rPr>
          <w:rFonts w:ascii="Times New Roman" w:hAnsi="Times New Roman"/>
          <w:sz w:val="24"/>
          <w:szCs w:val="24"/>
        </w:rPr>
        <w:t>março a agosto com média de 230 mm mês</w:t>
      </w:r>
      <w:r w:rsidRPr="00526AA2">
        <w:rPr>
          <w:rFonts w:ascii="Times New Roman" w:hAnsi="Times New Roman"/>
          <w:sz w:val="24"/>
          <w:szCs w:val="24"/>
          <w:vertAlign w:val="superscript"/>
        </w:rPr>
        <w:t>-1</w:t>
      </w:r>
      <w:r>
        <w:rPr>
          <w:rFonts w:ascii="Times New Roman" w:hAnsi="Times New Roman"/>
          <w:sz w:val="24"/>
          <w:szCs w:val="24"/>
        </w:rPr>
        <w:t xml:space="preserve"> (Figura 8</w:t>
      </w:r>
      <w:r w:rsidRPr="00526AA2">
        <w:rPr>
          <w:rFonts w:ascii="Times New Roman" w:hAnsi="Times New Roman"/>
          <w:sz w:val="24"/>
          <w:szCs w:val="24"/>
        </w:rPr>
        <w:t>A)</w:t>
      </w:r>
      <w:r>
        <w:rPr>
          <w:rFonts w:ascii="Times New Roman" w:hAnsi="Times New Roman"/>
          <w:sz w:val="24"/>
          <w:szCs w:val="24"/>
        </w:rPr>
        <w:t>. A</w:t>
      </w:r>
      <w:r w:rsidRPr="00526AA2">
        <w:rPr>
          <w:rFonts w:ascii="Times New Roman" w:hAnsi="Times New Roman"/>
          <w:sz w:val="24"/>
          <w:szCs w:val="24"/>
        </w:rPr>
        <w:t xml:space="preserve"> mesorregião do Agreste apresentou média de 73 mm mês</w:t>
      </w:r>
      <w:r w:rsidRPr="00526AA2">
        <w:rPr>
          <w:rFonts w:ascii="Times New Roman" w:hAnsi="Times New Roman"/>
          <w:sz w:val="24"/>
          <w:szCs w:val="24"/>
          <w:vertAlign w:val="superscript"/>
        </w:rPr>
        <w:t>-1</w:t>
      </w:r>
      <w:r w:rsidRPr="00526AA2">
        <w:rPr>
          <w:rFonts w:ascii="Times New Roman" w:hAnsi="Times New Roman"/>
          <w:sz w:val="24"/>
          <w:szCs w:val="24"/>
        </w:rPr>
        <w:t>, com maiores picos nos m</w:t>
      </w:r>
      <w:r>
        <w:rPr>
          <w:rFonts w:ascii="Times New Roman" w:hAnsi="Times New Roman"/>
          <w:sz w:val="24"/>
          <w:szCs w:val="24"/>
        </w:rPr>
        <w:t>eses de março a julho (Figura 8</w:t>
      </w:r>
      <w:r w:rsidRPr="00526AA2">
        <w:rPr>
          <w:rFonts w:ascii="Times New Roman" w:hAnsi="Times New Roman"/>
          <w:sz w:val="24"/>
          <w:szCs w:val="24"/>
        </w:rPr>
        <w:t>B). As mesorregiões do Sertão e Sertão do São Francisco apresentaram médias de 22 mm mês</w:t>
      </w:r>
      <w:r w:rsidRPr="00526AA2">
        <w:rPr>
          <w:rFonts w:ascii="Times New Roman" w:hAnsi="Times New Roman"/>
          <w:sz w:val="24"/>
          <w:szCs w:val="24"/>
          <w:vertAlign w:val="superscript"/>
        </w:rPr>
        <w:t>-1</w:t>
      </w:r>
      <w:r w:rsidRPr="00526AA2">
        <w:rPr>
          <w:rFonts w:ascii="Times New Roman" w:hAnsi="Times New Roman"/>
          <w:sz w:val="24"/>
          <w:szCs w:val="24"/>
        </w:rPr>
        <w:t xml:space="preserve"> e maiores pico</w:t>
      </w:r>
      <w:r>
        <w:rPr>
          <w:rFonts w:ascii="Times New Roman" w:hAnsi="Times New Roman"/>
          <w:sz w:val="24"/>
          <w:szCs w:val="24"/>
        </w:rPr>
        <w:t xml:space="preserve">s de janeiro a abril (Figuras 8C e </w:t>
      </w:r>
      <w:proofErr w:type="gramStart"/>
      <w:r>
        <w:rPr>
          <w:rFonts w:ascii="Times New Roman" w:hAnsi="Times New Roman"/>
          <w:sz w:val="24"/>
          <w:szCs w:val="24"/>
        </w:rPr>
        <w:t>8</w:t>
      </w:r>
      <w:r w:rsidRPr="00526AA2">
        <w:rPr>
          <w:rFonts w:ascii="Times New Roman" w:hAnsi="Times New Roman"/>
          <w:sz w:val="24"/>
          <w:szCs w:val="24"/>
        </w:rPr>
        <w:t>D</w:t>
      </w:r>
      <w:proofErr w:type="gramEnd"/>
      <w:r w:rsidRPr="00526AA2">
        <w:rPr>
          <w:rFonts w:ascii="Times New Roman" w:hAnsi="Times New Roman"/>
          <w:sz w:val="24"/>
          <w:szCs w:val="24"/>
        </w:rPr>
        <w:t>).</w:t>
      </w:r>
    </w:p>
    <w:p w:rsidR="000928AE" w:rsidRDefault="000928AE" w:rsidP="00753FA3">
      <w:pPr>
        <w:autoSpaceDE w:val="0"/>
        <w:autoSpaceDN w:val="0"/>
        <w:adjustRightInd w:val="0"/>
        <w:spacing w:after="0" w:line="480" w:lineRule="auto"/>
        <w:jc w:val="both"/>
        <w:rPr>
          <w:rFonts w:ascii="Times New Roman" w:hAnsi="Times New Roman"/>
          <w:b/>
          <w:noProof/>
          <w:sz w:val="24"/>
          <w:szCs w:val="24"/>
          <w:lang w:eastAsia="pt-BR"/>
        </w:rPr>
      </w:pPr>
    </w:p>
    <w:p w:rsidR="000928AE" w:rsidRDefault="000928AE" w:rsidP="00753FA3">
      <w:pPr>
        <w:autoSpaceDE w:val="0"/>
        <w:autoSpaceDN w:val="0"/>
        <w:adjustRightInd w:val="0"/>
        <w:spacing w:after="0" w:line="480" w:lineRule="auto"/>
        <w:jc w:val="both"/>
        <w:rPr>
          <w:rFonts w:ascii="Times New Roman" w:hAnsi="Times New Roman"/>
          <w:b/>
          <w:noProof/>
          <w:sz w:val="24"/>
          <w:szCs w:val="24"/>
          <w:lang w:eastAsia="pt-BR"/>
        </w:rPr>
      </w:pPr>
    </w:p>
    <w:p w:rsidR="000928AE" w:rsidRDefault="000928AE" w:rsidP="00753FA3">
      <w:pPr>
        <w:autoSpaceDE w:val="0"/>
        <w:autoSpaceDN w:val="0"/>
        <w:adjustRightInd w:val="0"/>
        <w:spacing w:after="0" w:line="480" w:lineRule="auto"/>
        <w:jc w:val="both"/>
        <w:rPr>
          <w:rFonts w:ascii="Times New Roman" w:hAnsi="Times New Roman"/>
          <w:b/>
          <w:noProof/>
          <w:sz w:val="24"/>
          <w:szCs w:val="24"/>
          <w:lang w:eastAsia="pt-BR"/>
        </w:rPr>
      </w:pPr>
    </w:p>
    <w:p w:rsidR="000928AE" w:rsidRDefault="000928AE" w:rsidP="00753FA3">
      <w:pPr>
        <w:autoSpaceDE w:val="0"/>
        <w:autoSpaceDN w:val="0"/>
        <w:adjustRightInd w:val="0"/>
        <w:spacing w:after="0" w:line="480" w:lineRule="auto"/>
        <w:jc w:val="both"/>
        <w:rPr>
          <w:rFonts w:ascii="Times New Roman" w:hAnsi="Times New Roman"/>
          <w:b/>
          <w:noProof/>
          <w:sz w:val="24"/>
          <w:szCs w:val="24"/>
          <w:lang w:eastAsia="pt-BR"/>
        </w:rPr>
      </w:pPr>
    </w:p>
    <w:p w:rsidR="000928AE" w:rsidRDefault="00026642" w:rsidP="00753FA3">
      <w:pPr>
        <w:autoSpaceDE w:val="0"/>
        <w:autoSpaceDN w:val="0"/>
        <w:adjustRightInd w:val="0"/>
        <w:spacing w:after="0" w:line="480" w:lineRule="auto"/>
        <w:jc w:val="both"/>
        <w:rPr>
          <w:rFonts w:ascii="Times New Roman" w:hAnsi="Times New Roman"/>
          <w:b/>
          <w:noProof/>
          <w:sz w:val="24"/>
          <w:szCs w:val="24"/>
          <w:lang w:eastAsia="pt-BR"/>
        </w:rPr>
      </w:pPr>
      <w:r w:rsidRPr="00026642">
        <w:rPr>
          <w:rFonts w:ascii="Times New Roman" w:hAnsi="Times New Roman"/>
          <w:noProof/>
          <w:sz w:val="24"/>
          <w:szCs w:val="24"/>
          <w:lang w:eastAsia="pt-BR"/>
        </w:rPr>
        <w:lastRenderedPageBreak/>
        <w:pict>
          <v:shape id="_x0000_s1044" type="#_x0000_t202" style="position:absolute;left:0;text-align:left;margin-left:201.85pt;margin-top:20.75pt;width:28.05pt;height:23.95pt;z-index:251679744;mso-width-relative:margin;mso-height-relative:margin" stroked="f" strokecolor="white">
            <v:fill opacity="0"/>
            <v:textbox>
              <w:txbxContent>
                <w:p w:rsidR="006D0856" w:rsidRPr="00127E49" w:rsidRDefault="006D0856" w:rsidP="006D0856">
                  <w:pPr>
                    <w:rPr>
                      <w:rFonts w:ascii="Times New Roman" w:hAnsi="Times New Roman"/>
                    </w:rPr>
                  </w:pPr>
                  <w:r>
                    <w:rPr>
                      <w:rFonts w:ascii="Times New Roman" w:hAnsi="Times New Roman"/>
                    </w:rPr>
                    <w:t>B.</w:t>
                  </w:r>
                </w:p>
              </w:txbxContent>
            </v:textbox>
          </v:shape>
        </w:pict>
      </w:r>
      <w:r>
        <w:rPr>
          <w:rFonts w:ascii="Times New Roman" w:hAnsi="Times New Roman"/>
          <w:b/>
          <w:noProof/>
          <w:sz w:val="24"/>
          <w:szCs w:val="24"/>
          <w:lang w:eastAsia="pt-BR"/>
        </w:rPr>
        <w:pict>
          <v:shape id="_x0000_s1043" type="#_x0000_t202" style="position:absolute;left:0;text-align:left;margin-left:-6.05pt;margin-top:19.25pt;width:28.7pt;height:23.95pt;z-index:251678720;mso-width-relative:margin;mso-height-relative:margin" stroked="f" strokecolor="white">
            <v:fill opacity="0"/>
            <v:textbox>
              <w:txbxContent>
                <w:p w:rsidR="006D0856" w:rsidRPr="00127E49" w:rsidRDefault="006D0856" w:rsidP="006D0856">
                  <w:pPr>
                    <w:rPr>
                      <w:rFonts w:ascii="Times New Roman" w:hAnsi="Times New Roman"/>
                    </w:rPr>
                  </w:pPr>
                  <w:r w:rsidRPr="00127E49">
                    <w:rPr>
                      <w:rFonts w:ascii="Times New Roman" w:hAnsi="Times New Roman"/>
                    </w:rPr>
                    <w:t>A</w:t>
                  </w:r>
                  <w:r>
                    <w:rPr>
                      <w:rFonts w:ascii="Times New Roman" w:hAnsi="Times New Roman"/>
                    </w:rPr>
                    <w:t>.</w:t>
                  </w:r>
                </w:p>
              </w:txbxContent>
            </v:textbox>
          </v:shape>
        </w:pict>
      </w:r>
    </w:p>
    <w:p w:rsidR="006D0856" w:rsidRPr="00526AA2" w:rsidRDefault="00026642" w:rsidP="000928AE">
      <w:pPr>
        <w:autoSpaceDE w:val="0"/>
        <w:autoSpaceDN w:val="0"/>
        <w:adjustRightInd w:val="0"/>
        <w:spacing w:after="0" w:line="480" w:lineRule="auto"/>
        <w:jc w:val="both"/>
        <w:rPr>
          <w:rFonts w:ascii="Times New Roman" w:hAnsi="Times New Roman"/>
        </w:rPr>
      </w:pPr>
      <w:r w:rsidRPr="00026642">
        <w:rPr>
          <w:rFonts w:ascii="Times New Roman" w:hAnsi="Times New Roman"/>
          <w:noProof/>
          <w:sz w:val="24"/>
          <w:szCs w:val="24"/>
          <w:lang w:eastAsia="pt-BR"/>
        </w:rPr>
        <w:pict>
          <v:shape id="_x0000_s1046" type="#_x0000_t202" style="position:absolute;left:0;text-align:left;margin-left:200.2pt;margin-top:151.55pt;width:28.05pt;height:23.95pt;z-index:251681792;mso-width-relative:margin;mso-height-relative:margin" stroked="f" strokecolor="white">
            <v:fill opacity="0"/>
            <v:textbox>
              <w:txbxContent>
                <w:p w:rsidR="006D0856" w:rsidRPr="00127E49" w:rsidRDefault="006D0856" w:rsidP="006D0856">
                  <w:pPr>
                    <w:rPr>
                      <w:rFonts w:ascii="Times New Roman" w:hAnsi="Times New Roman"/>
                    </w:rPr>
                  </w:pPr>
                  <w:r w:rsidRPr="003A12BA">
                    <w:rPr>
                      <w:rFonts w:ascii="Times New Roman" w:hAnsi="Times New Roman"/>
                      <w:color w:val="000000"/>
                    </w:rPr>
                    <w:t>D.</w:t>
                  </w:r>
                </w:p>
              </w:txbxContent>
            </v:textbox>
          </v:shape>
        </w:pict>
      </w:r>
      <w:r w:rsidRPr="00026642">
        <w:rPr>
          <w:rFonts w:ascii="Times New Roman" w:hAnsi="Times New Roman"/>
          <w:noProof/>
          <w:sz w:val="24"/>
          <w:szCs w:val="24"/>
          <w:lang w:eastAsia="pt-BR"/>
        </w:rPr>
        <w:pict>
          <v:shape id="_x0000_s1045" type="#_x0000_t202" style="position:absolute;left:0;text-align:left;margin-left:-1.05pt;margin-top:150.55pt;width:28.65pt;height:23.95pt;z-index:251680768;mso-width-relative:margin;mso-height-relative:margin" strokecolor="white">
            <v:fill opacity="0"/>
            <v:textbox>
              <w:txbxContent>
                <w:p w:rsidR="006D0856" w:rsidRPr="00127E49" w:rsidRDefault="006D0856" w:rsidP="006D0856">
                  <w:pPr>
                    <w:rPr>
                      <w:rFonts w:ascii="Times New Roman" w:hAnsi="Times New Roman"/>
                    </w:rPr>
                  </w:pPr>
                  <w:r>
                    <w:rPr>
                      <w:rFonts w:ascii="Times New Roman" w:hAnsi="Times New Roman"/>
                    </w:rPr>
                    <w:t>C.</w:t>
                  </w:r>
                </w:p>
              </w:txbxContent>
            </v:textbox>
          </v:shape>
        </w:pict>
      </w:r>
      <w:r w:rsidR="006D0856">
        <w:rPr>
          <w:rFonts w:ascii="Times New Roman" w:hAnsi="Times New Roman"/>
          <w:noProof/>
          <w:lang w:eastAsia="pt-BR"/>
        </w:rPr>
        <w:drawing>
          <wp:inline distT="0" distB="0" distL="0" distR="0">
            <wp:extent cx="2641600" cy="1980000"/>
            <wp:effectExtent l="0" t="0" r="0" b="0"/>
            <wp:docPr id="27" name="Gráfico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6D0856">
        <w:rPr>
          <w:rFonts w:ascii="Times New Roman" w:hAnsi="Times New Roman"/>
          <w:noProof/>
          <w:lang w:eastAsia="pt-BR"/>
        </w:rPr>
        <w:drawing>
          <wp:inline distT="0" distB="0" distL="0" distR="0">
            <wp:extent cx="2616200" cy="1980000"/>
            <wp:effectExtent l="0" t="0" r="0" b="0"/>
            <wp:docPr id="26" name="Gráfico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6D0856">
        <w:rPr>
          <w:rFonts w:ascii="Times New Roman" w:hAnsi="Times New Roman"/>
          <w:noProof/>
          <w:lang w:eastAsia="pt-BR"/>
        </w:rPr>
        <w:drawing>
          <wp:inline distT="0" distB="0" distL="0" distR="0">
            <wp:extent cx="2698750" cy="1981200"/>
            <wp:effectExtent l="0" t="0" r="0" b="0"/>
            <wp:docPr id="25" name="Gráfico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6D0856">
        <w:rPr>
          <w:rFonts w:ascii="Times New Roman" w:hAnsi="Times New Roman"/>
          <w:noProof/>
          <w:lang w:eastAsia="pt-BR"/>
        </w:rPr>
        <w:drawing>
          <wp:inline distT="0" distB="0" distL="0" distR="0">
            <wp:extent cx="2628900" cy="1980000"/>
            <wp:effectExtent l="0" t="0" r="0" b="0"/>
            <wp:docPr id="24" name="Gráfico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D0856" w:rsidRPr="00E00022" w:rsidRDefault="006D0856" w:rsidP="00753FA3">
      <w:pPr>
        <w:spacing w:line="480" w:lineRule="auto"/>
        <w:ind w:right="-1"/>
        <w:rPr>
          <w:rFonts w:ascii="Times New Roman" w:hAnsi="Times New Roman"/>
          <w:noProof/>
          <w:sz w:val="24"/>
          <w:szCs w:val="24"/>
          <w:lang w:val="en-US" w:eastAsia="pt-BR"/>
        </w:rPr>
      </w:pPr>
      <w:r w:rsidRPr="001013B1">
        <w:rPr>
          <w:rFonts w:ascii="Times New Roman" w:hAnsi="Times New Roman"/>
          <w:b/>
          <w:noProof/>
          <w:sz w:val="24"/>
          <w:szCs w:val="24"/>
          <w:lang w:val="en-US" w:eastAsia="pt-BR"/>
        </w:rPr>
        <w:t>Figur</w:t>
      </w:r>
      <w:r w:rsidR="00E00022" w:rsidRPr="001013B1">
        <w:rPr>
          <w:rFonts w:ascii="Times New Roman" w:hAnsi="Times New Roman"/>
          <w:b/>
          <w:noProof/>
          <w:sz w:val="24"/>
          <w:szCs w:val="24"/>
          <w:lang w:val="en-US" w:eastAsia="pt-BR"/>
        </w:rPr>
        <w:t>e</w:t>
      </w:r>
      <w:r w:rsidRPr="001013B1">
        <w:rPr>
          <w:rFonts w:ascii="Times New Roman" w:hAnsi="Times New Roman"/>
          <w:b/>
          <w:noProof/>
          <w:sz w:val="24"/>
          <w:szCs w:val="24"/>
          <w:lang w:val="en-US" w:eastAsia="pt-BR"/>
        </w:rPr>
        <w:t xml:space="preserve"> 8. </w:t>
      </w:r>
      <w:r w:rsidR="00E00022" w:rsidRPr="00E00022">
        <w:rPr>
          <w:rStyle w:val="hps"/>
          <w:rFonts w:ascii="Times New Roman" w:hAnsi="Times New Roman"/>
          <w:sz w:val="24"/>
          <w:szCs w:val="24"/>
          <w:lang w:val="en-US"/>
        </w:rPr>
        <w:t>Rainfall</w:t>
      </w:r>
      <w:r w:rsidR="00E00022" w:rsidRPr="00E00022">
        <w:rPr>
          <w:rStyle w:val="longtext"/>
          <w:rFonts w:ascii="Times New Roman" w:hAnsi="Times New Roman"/>
          <w:sz w:val="24"/>
          <w:szCs w:val="24"/>
          <w:lang w:val="en-US"/>
        </w:rPr>
        <w:t xml:space="preserve"> </w:t>
      </w:r>
      <w:r w:rsidR="00E00022" w:rsidRPr="00E00022">
        <w:rPr>
          <w:rStyle w:val="hps"/>
          <w:rFonts w:ascii="Times New Roman" w:hAnsi="Times New Roman"/>
          <w:sz w:val="24"/>
          <w:szCs w:val="24"/>
          <w:lang w:val="en-US"/>
        </w:rPr>
        <w:t>for</w:t>
      </w:r>
      <w:r w:rsidR="00E00022" w:rsidRPr="00E00022">
        <w:rPr>
          <w:rStyle w:val="longtext"/>
          <w:rFonts w:ascii="Times New Roman" w:hAnsi="Times New Roman"/>
          <w:sz w:val="24"/>
          <w:szCs w:val="24"/>
          <w:lang w:val="en-US"/>
        </w:rPr>
        <w:t xml:space="preserve"> </w:t>
      </w:r>
      <w:r w:rsidR="00E00022" w:rsidRPr="00E00022">
        <w:rPr>
          <w:rStyle w:val="hps"/>
          <w:rFonts w:ascii="Times New Roman" w:hAnsi="Times New Roman"/>
          <w:sz w:val="24"/>
          <w:szCs w:val="24"/>
          <w:lang w:val="en-US"/>
        </w:rPr>
        <w:t>dry years</w:t>
      </w:r>
      <w:r w:rsidR="00E00022" w:rsidRPr="00E00022">
        <w:rPr>
          <w:rStyle w:val="longtext"/>
          <w:rFonts w:ascii="Times New Roman" w:hAnsi="Times New Roman"/>
          <w:sz w:val="24"/>
          <w:szCs w:val="24"/>
          <w:lang w:val="en-US"/>
        </w:rPr>
        <w:t xml:space="preserve"> </w:t>
      </w:r>
      <w:r w:rsidR="00E00022" w:rsidRPr="00E00022">
        <w:rPr>
          <w:rStyle w:val="hps"/>
          <w:rFonts w:ascii="Times New Roman" w:hAnsi="Times New Roman"/>
          <w:sz w:val="24"/>
          <w:szCs w:val="24"/>
          <w:lang w:val="en-US"/>
        </w:rPr>
        <w:t>in the regions</w:t>
      </w:r>
      <w:r w:rsidR="00E00022" w:rsidRPr="00E00022">
        <w:rPr>
          <w:rStyle w:val="longtext"/>
          <w:rFonts w:ascii="Times New Roman" w:hAnsi="Times New Roman"/>
          <w:sz w:val="24"/>
          <w:szCs w:val="24"/>
          <w:lang w:val="en-US"/>
        </w:rPr>
        <w:t xml:space="preserve"> </w:t>
      </w:r>
      <w:r w:rsidR="00E00022" w:rsidRPr="00E00022">
        <w:rPr>
          <w:rStyle w:val="hps"/>
          <w:rFonts w:ascii="Times New Roman" w:hAnsi="Times New Roman"/>
          <w:sz w:val="24"/>
          <w:szCs w:val="24"/>
          <w:lang w:val="en-US"/>
        </w:rPr>
        <w:t>of the state:</w:t>
      </w:r>
      <w:r w:rsidR="00E00022" w:rsidRPr="00E00022">
        <w:rPr>
          <w:rStyle w:val="longtext"/>
          <w:rFonts w:ascii="Times New Roman" w:hAnsi="Times New Roman"/>
          <w:sz w:val="24"/>
          <w:szCs w:val="24"/>
          <w:lang w:val="en-US"/>
        </w:rPr>
        <w:t xml:space="preserve"> </w:t>
      </w:r>
      <w:r w:rsidR="00E00022" w:rsidRPr="00E00022">
        <w:rPr>
          <w:rFonts w:ascii="Times New Roman" w:hAnsi="Times New Roman"/>
          <w:sz w:val="24"/>
          <w:szCs w:val="24"/>
          <w:lang w:val="en-US"/>
        </w:rPr>
        <w:t xml:space="preserve">Zone of Forest </w:t>
      </w:r>
      <w:r w:rsidR="00E00022" w:rsidRPr="00E00022">
        <w:rPr>
          <w:rStyle w:val="hps"/>
          <w:rFonts w:ascii="Times New Roman" w:hAnsi="Times New Roman"/>
          <w:sz w:val="24"/>
          <w:szCs w:val="24"/>
          <w:lang w:val="en-US"/>
        </w:rPr>
        <w:t>(A),</w:t>
      </w:r>
      <w:r w:rsidR="00E00022" w:rsidRPr="00E00022">
        <w:rPr>
          <w:rFonts w:ascii="Times New Roman" w:hAnsi="Times New Roman"/>
          <w:sz w:val="24"/>
          <w:szCs w:val="24"/>
          <w:lang w:val="en-US"/>
        </w:rPr>
        <w:t xml:space="preserve"> </w:t>
      </w:r>
      <w:proofErr w:type="spellStart"/>
      <w:r w:rsidR="00E00022" w:rsidRPr="00E00022">
        <w:rPr>
          <w:rStyle w:val="hps"/>
          <w:rFonts w:ascii="Times New Roman" w:hAnsi="Times New Roman"/>
          <w:sz w:val="24"/>
          <w:szCs w:val="24"/>
          <w:lang w:val="en-US"/>
        </w:rPr>
        <w:t>Agreste</w:t>
      </w:r>
      <w:proofErr w:type="spellEnd"/>
      <w:r w:rsidR="00E00022" w:rsidRPr="00E00022">
        <w:rPr>
          <w:rFonts w:ascii="Times New Roman" w:hAnsi="Times New Roman"/>
          <w:sz w:val="24"/>
          <w:szCs w:val="24"/>
          <w:lang w:val="en-US"/>
        </w:rPr>
        <w:t xml:space="preserve"> </w:t>
      </w:r>
      <w:r w:rsidR="00E00022" w:rsidRPr="00E00022">
        <w:rPr>
          <w:rStyle w:val="hps"/>
          <w:rFonts w:ascii="Times New Roman" w:hAnsi="Times New Roman"/>
          <w:sz w:val="24"/>
          <w:szCs w:val="24"/>
          <w:lang w:val="en-US"/>
        </w:rPr>
        <w:t>(B),</w:t>
      </w:r>
      <w:r w:rsidR="00E00022" w:rsidRPr="00E00022">
        <w:rPr>
          <w:rFonts w:ascii="Times New Roman" w:hAnsi="Times New Roman"/>
          <w:sz w:val="24"/>
          <w:szCs w:val="24"/>
          <w:lang w:val="en-US"/>
        </w:rPr>
        <w:t xml:space="preserve"> </w:t>
      </w:r>
      <w:proofErr w:type="spellStart"/>
      <w:r w:rsidR="00E00022" w:rsidRPr="00E00022">
        <w:rPr>
          <w:rStyle w:val="hps"/>
          <w:rFonts w:ascii="Times New Roman" w:hAnsi="Times New Roman"/>
          <w:sz w:val="24"/>
          <w:szCs w:val="24"/>
          <w:lang w:val="en-US"/>
        </w:rPr>
        <w:t>Sertão</w:t>
      </w:r>
      <w:proofErr w:type="spellEnd"/>
      <w:r w:rsidR="00E00022" w:rsidRPr="00E00022">
        <w:rPr>
          <w:rFonts w:ascii="Times New Roman" w:hAnsi="Times New Roman"/>
          <w:sz w:val="24"/>
          <w:szCs w:val="24"/>
          <w:lang w:val="en-US"/>
        </w:rPr>
        <w:t xml:space="preserve"> </w:t>
      </w:r>
      <w:r w:rsidR="00E00022" w:rsidRPr="00E00022">
        <w:rPr>
          <w:rStyle w:val="hps"/>
          <w:rFonts w:ascii="Times New Roman" w:hAnsi="Times New Roman"/>
          <w:sz w:val="24"/>
          <w:szCs w:val="24"/>
          <w:lang w:val="en-US"/>
        </w:rPr>
        <w:t xml:space="preserve">(C) </w:t>
      </w:r>
      <w:proofErr w:type="gramStart"/>
      <w:r w:rsidR="00E00022" w:rsidRPr="00E00022">
        <w:rPr>
          <w:rStyle w:val="hps"/>
          <w:rFonts w:ascii="Times New Roman" w:hAnsi="Times New Roman"/>
          <w:sz w:val="24"/>
          <w:szCs w:val="24"/>
          <w:lang w:val="en-US"/>
        </w:rPr>
        <w:t>and</w:t>
      </w:r>
      <w:r w:rsidR="00E00022" w:rsidRPr="00E00022">
        <w:rPr>
          <w:rFonts w:ascii="Times New Roman" w:hAnsi="Times New Roman"/>
          <w:sz w:val="24"/>
          <w:szCs w:val="24"/>
          <w:lang w:val="en-US"/>
        </w:rPr>
        <w:t xml:space="preserve">  </w:t>
      </w:r>
      <w:proofErr w:type="spellStart"/>
      <w:r w:rsidR="00E00022" w:rsidRPr="00E00022">
        <w:rPr>
          <w:rStyle w:val="hps"/>
          <w:rFonts w:ascii="Times New Roman" w:hAnsi="Times New Roman"/>
          <w:sz w:val="24"/>
          <w:szCs w:val="24"/>
          <w:lang w:val="en-US"/>
        </w:rPr>
        <w:t>Sertão</w:t>
      </w:r>
      <w:proofErr w:type="spellEnd"/>
      <w:proofErr w:type="gramEnd"/>
      <w:r w:rsidR="00E00022" w:rsidRPr="00E00022">
        <w:rPr>
          <w:rStyle w:val="hps"/>
          <w:rFonts w:ascii="Times New Roman" w:hAnsi="Times New Roman"/>
          <w:sz w:val="24"/>
          <w:szCs w:val="24"/>
          <w:lang w:val="en-US"/>
        </w:rPr>
        <w:t xml:space="preserve"> of</w:t>
      </w:r>
      <w:r w:rsidR="00E00022" w:rsidRPr="00E00022">
        <w:rPr>
          <w:rFonts w:ascii="Times New Roman" w:hAnsi="Times New Roman"/>
          <w:sz w:val="24"/>
          <w:szCs w:val="24"/>
          <w:lang w:val="en-US"/>
        </w:rPr>
        <w:t xml:space="preserve"> </w:t>
      </w:r>
      <w:r w:rsidR="00E00022" w:rsidRPr="00E00022">
        <w:rPr>
          <w:rStyle w:val="hps"/>
          <w:rFonts w:ascii="Times New Roman" w:hAnsi="Times New Roman"/>
          <w:sz w:val="24"/>
          <w:szCs w:val="24"/>
          <w:lang w:val="en-US"/>
        </w:rPr>
        <w:t>San Francisco (D).</w:t>
      </w:r>
    </w:p>
    <w:p w:rsidR="006D0856" w:rsidRDefault="006D0856" w:rsidP="00753FA3">
      <w:pPr>
        <w:autoSpaceDE w:val="0"/>
        <w:autoSpaceDN w:val="0"/>
        <w:adjustRightInd w:val="0"/>
        <w:spacing w:after="0" w:line="480" w:lineRule="auto"/>
        <w:jc w:val="both"/>
        <w:rPr>
          <w:rFonts w:ascii="Times New Roman" w:hAnsi="Times New Roman"/>
          <w:noProof/>
          <w:sz w:val="24"/>
          <w:szCs w:val="24"/>
          <w:lang w:eastAsia="pt-BR"/>
        </w:rPr>
      </w:pPr>
      <w:r w:rsidRPr="00E00022">
        <w:rPr>
          <w:rFonts w:ascii="Times New Roman" w:hAnsi="Times New Roman"/>
          <w:b/>
          <w:noProof/>
          <w:sz w:val="24"/>
          <w:szCs w:val="24"/>
          <w:lang w:val="en-US" w:eastAsia="pt-BR"/>
        </w:rPr>
        <w:tab/>
      </w:r>
      <w:r w:rsidRPr="00526AA2">
        <w:rPr>
          <w:rFonts w:ascii="Times New Roman" w:hAnsi="Times New Roman"/>
          <w:noProof/>
          <w:sz w:val="24"/>
          <w:szCs w:val="24"/>
          <w:lang w:eastAsia="pt-BR"/>
        </w:rPr>
        <w:t>A evapotranspiração potencial para a mesorregião apresentou média mensal de 111 mm mês</w:t>
      </w:r>
      <w:r w:rsidRPr="00526AA2">
        <w:rPr>
          <w:rFonts w:ascii="Times New Roman" w:hAnsi="Times New Roman"/>
          <w:noProof/>
          <w:sz w:val="24"/>
          <w:szCs w:val="24"/>
          <w:vertAlign w:val="superscript"/>
          <w:lang w:eastAsia="pt-BR"/>
        </w:rPr>
        <w:t>-1</w:t>
      </w:r>
      <w:r w:rsidRPr="00526AA2">
        <w:rPr>
          <w:rFonts w:ascii="Times New Roman" w:hAnsi="Times New Roman"/>
          <w:noProof/>
          <w:sz w:val="24"/>
          <w:szCs w:val="24"/>
          <w:lang w:eastAsia="pt-BR"/>
        </w:rPr>
        <w:t>, com maior demanda hídrica nos meses de janeiro a março e</w:t>
      </w:r>
      <w:r>
        <w:rPr>
          <w:rFonts w:ascii="Times New Roman" w:hAnsi="Times New Roman"/>
          <w:noProof/>
          <w:sz w:val="24"/>
          <w:szCs w:val="24"/>
          <w:lang w:eastAsia="pt-BR"/>
        </w:rPr>
        <w:t xml:space="preserve"> de outuro a novembro (Figura 9</w:t>
      </w:r>
      <w:r w:rsidRPr="00526AA2">
        <w:rPr>
          <w:rFonts w:ascii="Times New Roman" w:hAnsi="Times New Roman"/>
          <w:noProof/>
          <w:sz w:val="24"/>
          <w:szCs w:val="24"/>
          <w:lang w:eastAsia="pt-BR"/>
        </w:rPr>
        <w:t>A).</w:t>
      </w:r>
      <w:r>
        <w:rPr>
          <w:rFonts w:ascii="Times New Roman" w:hAnsi="Times New Roman"/>
          <w:noProof/>
          <w:sz w:val="24"/>
          <w:szCs w:val="24"/>
          <w:lang w:eastAsia="pt-BR"/>
        </w:rPr>
        <w:t xml:space="preserve"> Na mesorregião do Agreste a ETp</w:t>
      </w:r>
      <w:r w:rsidRPr="00526AA2">
        <w:rPr>
          <w:rFonts w:ascii="Times New Roman" w:hAnsi="Times New Roman"/>
          <w:noProof/>
          <w:sz w:val="24"/>
          <w:szCs w:val="24"/>
          <w:lang w:eastAsia="pt-BR"/>
        </w:rPr>
        <w:t xml:space="preserve"> apresentou média de 96 mm mês</w:t>
      </w:r>
      <w:r w:rsidRPr="00526AA2">
        <w:rPr>
          <w:rFonts w:ascii="Times New Roman" w:hAnsi="Times New Roman"/>
          <w:noProof/>
          <w:sz w:val="24"/>
          <w:szCs w:val="24"/>
          <w:vertAlign w:val="superscript"/>
          <w:lang w:eastAsia="pt-BR"/>
        </w:rPr>
        <w:t xml:space="preserve">-1 </w:t>
      </w:r>
      <w:r>
        <w:rPr>
          <w:rFonts w:ascii="Times New Roman" w:hAnsi="Times New Roman"/>
          <w:noProof/>
          <w:sz w:val="24"/>
          <w:szCs w:val="24"/>
          <w:lang w:eastAsia="pt-BR"/>
        </w:rPr>
        <w:t>(Figura 9</w:t>
      </w:r>
      <w:r w:rsidRPr="00526AA2">
        <w:rPr>
          <w:rFonts w:ascii="Times New Roman" w:hAnsi="Times New Roman"/>
          <w:noProof/>
          <w:sz w:val="24"/>
          <w:szCs w:val="24"/>
          <w:lang w:eastAsia="pt-BR"/>
        </w:rPr>
        <w:t xml:space="preserve">B) e maiores </w:t>
      </w:r>
      <w:r>
        <w:rPr>
          <w:rFonts w:ascii="Times New Roman" w:hAnsi="Times New Roman"/>
          <w:noProof/>
          <w:sz w:val="24"/>
          <w:szCs w:val="24"/>
          <w:lang w:eastAsia="pt-BR"/>
        </w:rPr>
        <w:t>í</w:t>
      </w:r>
      <w:r w:rsidRPr="00526AA2">
        <w:rPr>
          <w:rFonts w:ascii="Times New Roman" w:hAnsi="Times New Roman"/>
          <w:noProof/>
          <w:sz w:val="24"/>
          <w:szCs w:val="24"/>
          <w:lang w:eastAsia="pt-BR"/>
        </w:rPr>
        <w:t>ndices nos meses de outubro a dezembro. As Mesorregi</w:t>
      </w:r>
      <w:r>
        <w:rPr>
          <w:rFonts w:ascii="Times New Roman" w:hAnsi="Times New Roman"/>
          <w:noProof/>
          <w:sz w:val="24"/>
          <w:szCs w:val="24"/>
          <w:lang w:eastAsia="pt-BR"/>
        </w:rPr>
        <w:t>õ</w:t>
      </w:r>
      <w:r w:rsidRPr="00526AA2">
        <w:rPr>
          <w:rFonts w:ascii="Times New Roman" w:hAnsi="Times New Roman"/>
          <w:noProof/>
          <w:sz w:val="24"/>
          <w:szCs w:val="24"/>
          <w:lang w:eastAsia="pt-BR"/>
        </w:rPr>
        <w:t>es do Sertão</w:t>
      </w:r>
      <w:r>
        <w:rPr>
          <w:rFonts w:ascii="Times New Roman" w:hAnsi="Times New Roman"/>
          <w:noProof/>
          <w:sz w:val="24"/>
          <w:szCs w:val="24"/>
          <w:lang w:eastAsia="pt-BR"/>
        </w:rPr>
        <w:t xml:space="preserve"> (Figura 9</w:t>
      </w:r>
      <w:r w:rsidRPr="00526AA2">
        <w:rPr>
          <w:rFonts w:ascii="Times New Roman" w:hAnsi="Times New Roman"/>
          <w:noProof/>
          <w:sz w:val="24"/>
          <w:szCs w:val="24"/>
          <w:lang w:eastAsia="pt-BR"/>
        </w:rPr>
        <w:t>C) e Sertão</w:t>
      </w:r>
      <w:r>
        <w:rPr>
          <w:rFonts w:ascii="Times New Roman" w:hAnsi="Times New Roman"/>
          <w:noProof/>
          <w:sz w:val="24"/>
          <w:szCs w:val="24"/>
          <w:lang w:eastAsia="pt-BR"/>
        </w:rPr>
        <w:t xml:space="preserve"> do São Francisco (Figura 9</w:t>
      </w:r>
      <w:r w:rsidRPr="00526AA2">
        <w:rPr>
          <w:rFonts w:ascii="Times New Roman" w:hAnsi="Times New Roman"/>
          <w:noProof/>
          <w:sz w:val="24"/>
          <w:szCs w:val="24"/>
          <w:lang w:eastAsia="pt-BR"/>
        </w:rPr>
        <w:t>D) apresentaram médias de 120 e 124 mm mês</w:t>
      </w:r>
      <w:r w:rsidRPr="00526AA2">
        <w:rPr>
          <w:rFonts w:ascii="Times New Roman" w:hAnsi="Times New Roman"/>
          <w:noProof/>
          <w:sz w:val="24"/>
          <w:szCs w:val="24"/>
          <w:vertAlign w:val="superscript"/>
          <w:lang w:eastAsia="pt-BR"/>
        </w:rPr>
        <w:t>-1</w:t>
      </w:r>
      <w:r w:rsidRPr="00526AA2">
        <w:rPr>
          <w:rFonts w:ascii="Times New Roman" w:hAnsi="Times New Roman"/>
          <w:noProof/>
          <w:sz w:val="24"/>
          <w:szCs w:val="24"/>
          <w:lang w:eastAsia="pt-BR"/>
        </w:rPr>
        <w:t>.</w:t>
      </w:r>
    </w:p>
    <w:p w:rsidR="006D0856" w:rsidRDefault="006D0856" w:rsidP="00753FA3">
      <w:pPr>
        <w:autoSpaceDE w:val="0"/>
        <w:autoSpaceDN w:val="0"/>
        <w:adjustRightInd w:val="0"/>
        <w:spacing w:after="0" w:line="480" w:lineRule="auto"/>
        <w:jc w:val="both"/>
        <w:rPr>
          <w:rFonts w:ascii="Times New Roman" w:hAnsi="Times New Roman"/>
          <w:noProof/>
          <w:sz w:val="24"/>
          <w:szCs w:val="24"/>
          <w:lang w:eastAsia="pt-BR"/>
        </w:rPr>
      </w:pPr>
    </w:p>
    <w:p w:rsidR="006D0856" w:rsidRPr="00526AA2" w:rsidRDefault="006D0856" w:rsidP="00753FA3">
      <w:pPr>
        <w:spacing w:line="480" w:lineRule="auto"/>
        <w:ind w:right="-1"/>
        <w:rPr>
          <w:rFonts w:ascii="Times New Roman" w:hAnsi="Times New Roman"/>
          <w:sz w:val="24"/>
          <w:szCs w:val="24"/>
        </w:rPr>
      </w:pPr>
      <w:r w:rsidRPr="00526AA2">
        <w:rPr>
          <w:rFonts w:ascii="Times New Roman" w:hAnsi="Times New Roman"/>
        </w:rPr>
        <w:tab/>
      </w:r>
    </w:p>
    <w:p w:rsidR="006D0856" w:rsidRPr="00526AA2" w:rsidRDefault="00026642" w:rsidP="00753FA3">
      <w:pPr>
        <w:spacing w:line="480" w:lineRule="auto"/>
        <w:ind w:right="-1"/>
        <w:rPr>
          <w:rFonts w:ascii="Times New Roman" w:hAnsi="Times New Roman"/>
        </w:rPr>
      </w:pPr>
      <w:r w:rsidRPr="00026642">
        <w:rPr>
          <w:rFonts w:ascii="Times New Roman" w:hAnsi="Times New Roman"/>
          <w:b/>
          <w:noProof/>
          <w:sz w:val="24"/>
          <w:szCs w:val="24"/>
          <w:lang w:eastAsia="pt-BR"/>
        </w:rPr>
        <w:lastRenderedPageBreak/>
        <w:pict>
          <v:shape id="_x0000_s1048" type="#_x0000_t202" style="position:absolute;margin-left:50.75pt;margin-top:174.65pt;width:31.2pt;height:23.95pt;z-index:251683840;mso-width-relative:margin;mso-height-relative:margin" stroked="f" strokecolor="white">
            <v:fill opacity="0"/>
            <v:textbox>
              <w:txbxContent>
                <w:p w:rsidR="006D0856" w:rsidRPr="00127E49" w:rsidRDefault="006D0856" w:rsidP="006D0856">
                  <w:pPr>
                    <w:rPr>
                      <w:rFonts w:ascii="Times New Roman" w:hAnsi="Times New Roman"/>
                    </w:rPr>
                  </w:pPr>
                  <w:r>
                    <w:rPr>
                      <w:rFonts w:ascii="Times New Roman" w:hAnsi="Times New Roman"/>
                    </w:rPr>
                    <w:t>C.</w:t>
                  </w:r>
                </w:p>
              </w:txbxContent>
            </v:textbox>
          </v:shape>
        </w:pict>
      </w:r>
      <w:r w:rsidRPr="00026642">
        <w:rPr>
          <w:rFonts w:ascii="Times New Roman" w:hAnsi="Times New Roman"/>
          <w:b/>
          <w:noProof/>
          <w:sz w:val="24"/>
          <w:szCs w:val="24"/>
          <w:lang w:eastAsia="pt-BR"/>
        </w:rPr>
        <w:pict>
          <v:shape id="_x0000_s1049" type="#_x0000_t202" style="position:absolute;margin-left:242.85pt;margin-top:174.65pt;width:28.7pt;height:23.95pt;z-index:251684864;mso-width-relative:margin;mso-height-relative:margin" stroked="f" strokecolor="white">
            <v:fill opacity="0"/>
            <v:textbox>
              <w:txbxContent>
                <w:p w:rsidR="006D0856" w:rsidRPr="00127E49" w:rsidRDefault="006D0856" w:rsidP="006D0856">
                  <w:pPr>
                    <w:rPr>
                      <w:rFonts w:ascii="Times New Roman" w:hAnsi="Times New Roman"/>
                    </w:rPr>
                  </w:pPr>
                  <w:r>
                    <w:rPr>
                      <w:rFonts w:ascii="Times New Roman" w:hAnsi="Times New Roman"/>
                    </w:rPr>
                    <w:t>D.</w:t>
                  </w:r>
                </w:p>
              </w:txbxContent>
            </v:textbox>
          </v:shape>
        </w:pict>
      </w:r>
      <w:r w:rsidRPr="00026642">
        <w:rPr>
          <w:rFonts w:ascii="Times New Roman" w:hAnsi="Times New Roman"/>
          <w:b/>
          <w:noProof/>
          <w:sz w:val="24"/>
          <w:szCs w:val="24"/>
          <w:lang w:eastAsia="pt-BR"/>
        </w:rPr>
        <w:pict>
          <v:shape id="_x0000_s1047" type="#_x0000_t202" style="position:absolute;margin-left:236.6pt;margin-top:-20.35pt;width:34.95pt;height:23.95pt;z-index:251682816;mso-width-relative:margin;mso-height-relative:margin" stroked="f" strokecolor="white">
            <v:fill opacity="0"/>
            <v:textbox>
              <w:txbxContent>
                <w:p w:rsidR="006D0856" w:rsidRPr="00127E49" w:rsidRDefault="006D0856" w:rsidP="006D0856">
                  <w:pPr>
                    <w:rPr>
                      <w:rFonts w:ascii="Times New Roman" w:hAnsi="Times New Roman"/>
                    </w:rPr>
                  </w:pPr>
                  <w:r>
                    <w:rPr>
                      <w:rFonts w:ascii="Times New Roman" w:hAnsi="Times New Roman"/>
                    </w:rPr>
                    <w:t>B.</w:t>
                  </w:r>
                </w:p>
              </w:txbxContent>
            </v:textbox>
          </v:shape>
        </w:pict>
      </w:r>
      <w:r w:rsidRPr="00026642">
        <w:rPr>
          <w:rFonts w:ascii="Times New Roman" w:hAnsi="Times New Roman"/>
          <w:noProof/>
          <w:sz w:val="24"/>
          <w:szCs w:val="24"/>
          <w:lang w:eastAsia="pt-BR"/>
        </w:rPr>
        <w:pict>
          <v:shape id="_x0000_s1042" type="#_x0000_t202" style="position:absolute;margin-left:25.45pt;margin-top:-20.35pt;width:29.7pt;height:23.95pt;z-index:251677696;mso-width-relative:margin;mso-height-relative:margin" stroked="f" strokecolor="white">
            <v:fill opacity="0"/>
            <v:textbox>
              <w:txbxContent>
                <w:p w:rsidR="006D0856" w:rsidRPr="00127E49" w:rsidRDefault="006D0856" w:rsidP="006D0856">
                  <w:pPr>
                    <w:rPr>
                      <w:rFonts w:ascii="Times New Roman" w:hAnsi="Times New Roman"/>
                    </w:rPr>
                  </w:pPr>
                  <w:r w:rsidRPr="00127E49">
                    <w:rPr>
                      <w:rFonts w:ascii="Times New Roman" w:hAnsi="Times New Roman"/>
                    </w:rPr>
                    <w:t>A</w:t>
                  </w:r>
                  <w:r>
                    <w:rPr>
                      <w:rFonts w:ascii="Times New Roman" w:hAnsi="Times New Roman"/>
                    </w:rPr>
                    <w:t>.</w:t>
                  </w:r>
                </w:p>
              </w:txbxContent>
            </v:textbox>
          </v:shape>
        </w:pict>
      </w:r>
      <w:r w:rsidR="006D0856">
        <w:rPr>
          <w:rFonts w:ascii="Times New Roman" w:hAnsi="Times New Roman"/>
          <w:noProof/>
          <w:lang w:eastAsia="pt-BR"/>
        </w:rPr>
        <w:drawing>
          <wp:inline distT="0" distB="0" distL="0" distR="0">
            <wp:extent cx="2641600" cy="2057400"/>
            <wp:effectExtent l="0" t="0" r="0" b="0"/>
            <wp:docPr id="23" name="Gráfico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6D0856">
        <w:rPr>
          <w:rFonts w:ascii="Times New Roman" w:hAnsi="Times New Roman"/>
          <w:noProof/>
          <w:lang w:eastAsia="pt-BR"/>
        </w:rPr>
        <w:drawing>
          <wp:inline distT="0" distB="0" distL="0" distR="0">
            <wp:extent cx="2603500" cy="1980000"/>
            <wp:effectExtent l="0" t="0" r="0" b="0"/>
            <wp:docPr id="22"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D0856" w:rsidRPr="00526AA2" w:rsidRDefault="006D0856" w:rsidP="00753FA3">
      <w:pPr>
        <w:spacing w:line="480" w:lineRule="auto"/>
        <w:ind w:right="-1"/>
        <w:rPr>
          <w:rFonts w:ascii="Times New Roman" w:hAnsi="Times New Roman"/>
        </w:rPr>
      </w:pPr>
      <w:r>
        <w:rPr>
          <w:rFonts w:ascii="Times New Roman" w:hAnsi="Times New Roman"/>
          <w:noProof/>
          <w:lang w:eastAsia="pt-BR"/>
        </w:rPr>
        <w:drawing>
          <wp:inline distT="0" distB="0" distL="0" distR="0">
            <wp:extent cx="2628900" cy="2184400"/>
            <wp:effectExtent l="0" t="0" r="0" b="0"/>
            <wp:docPr id="21" name="Gráfico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Pr>
          <w:rFonts w:ascii="Times New Roman" w:hAnsi="Times New Roman"/>
          <w:noProof/>
          <w:lang w:eastAsia="pt-BR"/>
        </w:rPr>
        <w:drawing>
          <wp:inline distT="0" distB="0" distL="0" distR="0">
            <wp:extent cx="2647950" cy="2241550"/>
            <wp:effectExtent l="0" t="0" r="0" b="0"/>
            <wp:docPr id="20" name="Gráfico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D0856" w:rsidRPr="00664301" w:rsidRDefault="006D0856" w:rsidP="00753FA3">
      <w:pPr>
        <w:spacing w:line="480" w:lineRule="auto"/>
        <w:ind w:right="-1"/>
        <w:rPr>
          <w:rFonts w:ascii="Times New Roman" w:hAnsi="Times New Roman"/>
          <w:noProof/>
          <w:sz w:val="24"/>
          <w:szCs w:val="24"/>
          <w:lang w:val="en-US" w:eastAsia="pt-BR"/>
        </w:rPr>
      </w:pPr>
      <w:r w:rsidRPr="001013B1">
        <w:rPr>
          <w:rFonts w:ascii="Times New Roman" w:hAnsi="Times New Roman"/>
          <w:b/>
          <w:sz w:val="24"/>
          <w:szCs w:val="24"/>
          <w:lang w:val="en-US"/>
        </w:rPr>
        <w:t>Figur</w:t>
      </w:r>
      <w:r w:rsidR="00664301" w:rsidRPr="001013B1">
        <w:rPr>
          <w:rFonts w:ascii="Times New Roman" w:hAnsi="Times New Roman"/>
          <w:b/>
          <w:sz w:val="24"/>
          <w:szCs w:val="24"/>
          <w:lang w:val="en-US"/>
        </w:rPr>
        <w:t>e</w:t>
      </w:r>
      <w:r w:rsidRPr="001013B1">
        <w:rPr>
          <w:rFonts w:ascii="Times New Roman" w:hAnsi="Times New Roman"/>
          <w:b/>
          <w:sz w:val="24"/>
          <w:szCs w:val="24"/>
          <w:lang w:val="en-US"/>
        </w:rPr>
        <w:t xml:space="preserve"> 9. </w:t>
      </w:r>
      <w:r w:rsidR="00664301" w:rsidRPr="00664301">
        <w:rPr>
          <w:rStyle w:val="hps"/>
          <w:rFonts w:ascii="Times New Roman" w:hAnsi="Times New Roman"/>
          <w:sz w:val="24"/>
          <w:szCs w:val="24"/>
          <w:lang w:val="en-US"/>
        </w:rPr>
        <w:t>Potential</w:t>
      </w:r>
      <w:r w:rsidR="00664301" w:rsidRPr="00664301">
        <w:rPr>
          <w:rStyle w:val="longtext"/>
          <w:rFonts w:ascii="Times New Roman" w:hAnsi="Times New Roman"/>
          <w:sz w:val="24"/>
          <w:szCs w:val="24"/>
          <w:lang w:val="en-US"/>
        </w:rPr>
        <w:t xml:space="preserve"> </w:t>
      </w:r>
      <w:r w:rsidR="00664301" w:rsidRPr="00664301">
        <w:rPr>
          <w:rStyle w:val="hps"/>
          <w:rFonts w:ascii="Times New Roman" w:hAnsi="Times New Roman"/>
          <w:sz w:val="24"/>
          <w:szCs w:val="24"/>
          <w:lang w:val="en-US"/>
        </w:rPr>
        <w:t>evapotranspiration</w:t>
      </w:r>
      <w:r w:rsidR="00664301" w:rsidRPr="00664301">
        <w:rPr>
          <w:rStyle w:val="longtext"/>
          <w:rFonts w:ascii="Times New Roman" w:hAnsi="Times New Roman"/>
          <w:sz w:val="24"/>
          <w:szCs w:val="24"/>
          <w:lang w:val="en-US"/>
        </w:rPr>
        <w:t xml:space="preserve"> </w:t>
      </w:r>
      <w:r w:rsidR="00664301" w:rsidRPr="00664301">
        <w:rPr>
          <w:rStyle w:val="hps"/>
          <w:rFonts w:ascii="Times New Roman" w:hAnsi="Times New Roman"/>
          <w:sz w:val="24"/>
          <w:szCs w:val="24"/>
          <w:lang w:val="en-US"/>
        </w:rPr>
        <w:t>for</w:t>
      </w:r>
      <w:r w:rsidR="00664301" w:rsidRPr="00664301">
        <w:rPr>
          <w:rStyle w:val="longtext"/>
          <w:rFonts w:ascii="Times New Roman" w:hAnsi="Times New Roman"/>
          <w:sz w:val="24"/>
          <w:szCs w:val="24"/>
          <w:lang w:val="en-US"/>
        </w:rPr>
        <w:t xml:space="preserve"> </w:t>
      </w:r>
      <w:r w:rsidR="00664301" w:rsidRPr="00664301">
        <w:rPr>
          <w:rStyle w:val="hps"/>
          <w:rFonts w:ascii="Times New Roman" w:hAnsi="Times New Roman"/>
          <w:sz w:val="24"/>
          <w:szCs w:val="24"/>
          <w:lang w:val="en-US"/>
        </w:rPr>
        <w:t xml:space="preserve">dry </w:t>
      </w:r>
      <w:proofErr w:type="gramStart"/>
      <w:r w:rsidR="00664301" w:rsidRPr="00664301">
        <w:rPr>
          <w:rStyle w:val="hps"/>
          <w:rFonts w:ascii="Times New Roman" w:hAnsi="Times New Roman"/>
          <w:sz w:val="24"/>
          <w:szCs w:val="24"/>
          <w:lang w:val="en-US"/>
        </w:rPr>
        <w:t>years</w:t>
      </w:r>
      <w:proofErr w:type="gramEnd"/>
      <w:r w:rsidR="00664301" w:rsidRPr="00664301">
        <w:rPr>
          <w:rStyle w:val="longtext"/>
          <w:rFonts w:ascii="Times New Roman" w:hAnsi="Times New Roman"/>
          <w:sz w:val="24"/>
          <w:szCs w:val="24"/>
          <w:lang w:val="en-US"/>
        </w:rPr>
        <w:t xml:space="preserve"> </w:t>
      </w:r>
      <w:r w:rsidR="00664301" w:rsidRPr="00664301">
        <w:rPr>
          <w:rStyle w:val="hps"/>
          <w:rFonts w:ascii="Times New Roman" w:hAnsi="Times New Roman"/>
          <w:sz w:val="24"/>
          <w:szCs w:val="24"/>
          <w:lang w:val="en-US"/>
        </w:rPr>
        <w:t>rainfall:</w:t>
      </w:r>
      <w:r w:rsidR="00664301" w:rsidRPr="00664301">
        <w:rPr>
          <w:rStyle w:val="longtext"/>
          <w:rFonts w:ascii="Times New Roman" w:hAnsi="Times New Roman"/>
          <w:sz w:val="24"/>
          <w:szCs w:val="24"/>
          <w:lang w:val="en-US"/>
        </w:rPr>
        <w:t xml:space="preserve"> </w:t>
      </w:r>
      <w:r w:rsidR="00664301" w:rsidRPr="00664301">
        <w:rPr>
          <w:rFonts w:ascii="Times New Roman" w:hAnsi="Times New Roman"/>
          <w:sz w:val="24"/>
          <w:szCs w:val="24"/>
          <w:lang w:val="en-US"/>
        </w:rPr>
        <w:t xml:space="preserve">Zone of Forest </w:t>
      </w:r>
      <w:r w:rsidR="00664301" w:rsidRPr="00664301">
        <w:rPr>
          <w:rStyle w:val="hps"/>
          <w:rFonts w:ascii="Times New Roman" w:hAnsi="Times New Roman"/>
          <w:sz w:val="24"/>
          <w:szCs w:val="24"/>
          <w:lang w:val="en-US"/>
        </w:rPr>
        <w:t>(A),</w:t>
      </w:r>
      <w:r w:rsidR="00664301" w:rsidRPr="00664301">
        <w:rPr>
          <w:rFonts w:ascii="Times New Roman" w:hAnsi="Times New Roman"/>
          <w:sz w:val="24"/>
          <w:szCs w:val="24"/>
          <w:lang w:val="en-US"/>
        </w:rPr>
        <w:t xml:space="preserve"> </w:t>
      </w:r>
      <w:proofErr w:type="spellStart"/>
      <w:r w:rsidR="00664301" w:rsidRPr="00664301">
        <w:rPr>
          <w:rStyle w:val="hps"/>
          <w:rFonts w:ascii="Times New Roman" w:hAnsi="Times New Roman"/>
          <w:sz w:val="24"/>
          <w:szCs w:val="24"/>
          <w:lang w:val="en-US"/>
        </w:rPr>
        <w:t>Agreste</w:t>
      </w:r>
      <w:proofErr w:type="spellEnd"/>
      <w:r w:rsidR="00664301" w:rsidRPr="00664301">
        <w:rPr>
          <w:rFonts w:ascii="Times New Roman" w:hAnsi="Times New Roman"/>
          <w:sz w:val="24"/>
          <w:szCs w:val="24"/>
          <w:lang w:val="en-US"/>
        </w:rPr>
        <w:t xml:space="preserve"> </w:t>
      </w:r>
      <w:r w:rsidR="00664301" w:rsidRPr="00664301">
        <w:rPr>
          <w:rStyle w:val="hps"/>
          <w:rFonts w:ascii="Times New Roman" w:hAnsi="Times New Roman"/>
          <w:sz w:val="24"/>
          <w:szCs w:val="24"/>
          <w:lang w:val="en-US"/>
        </w:rPr>
        <w:t>(B),</w:t>
      </w:r>
      <w:r w:rsidR="00664301" w:rsidRPr="00664301">
        <w:rPr>
          <w:rFonts w:ascii="Times New Roman" w:hAnsi="Times New Roman"/>
          <w:sz w:val="24"/>
          <w:szCs w:val="24"/>
          <w:lang w:val="en-US"/>
        </w:rPr>
        <w:t xml:space="preserve"> </w:t>
      </w:r>
      <w:proofErr w:type="spellStart"/>
      <w:r w:rsidR="00664301" w:rsidRPr="00664301">
        <w:rPr>
          <w:rStyle w:val="hps"/>
          <w:rFonts w:ascii="Times New Roman" w:hAnsi="Times New Roman"/>
          <w:sz w:val="24"/>
          <w:szCs w:val="24"/>
          <w:lang w:val="en-US"/>
        </w:rPr>
        <w:t>Sertão</w:t>
      </w:r>
      <w:proofErr w:type="spellEnd"/>
      <w:r w:rsidR="00664301" w:rsidRPr="00664301">
        <w:rPr>
          <w:rFonts w:ascii="Times New Roman" w:hAnsi="Times New Roman"/>
          <w:sz w:val="24"/>
          <w:szCs w:val="24"/>
          <w:lang w:val="en-US"/>
        </w:rPr>
        <w:t xml:space="preserve"> </w:t>
      </w:r>
      <w:r w:rsidR="00664301" w:rsidRPr="00664301">
        <w:rPr>
          <w:rStyle w:val="hps"/>
          <w:rFonts w:ascii="Times New Roman" w:hAnsi="Times New Roman"/>
          <w:sz w:val="24"/>
          <w:szCs w:val="24"/>
          <w:lang w:val="en-US"/>
        </w:rPr>
        <w:t>(C) and</w:t>
      </w:r>
      <w:r w:rsidR="00664301" w:rsidRPr="00664301">
        <w:rPr>
          <w:rFonts w:ascii="Times New Roman" w:hAnsi="Times New Roman"/>
          <w:sz w:val="24"/>
          <w:szCs w:val="24"/>
          <w:lang w:val="en-US"/>
        </w:rPr>
        <w:t xml:space="preserve"> </w:t>
      </w:r>
      <w:proofErr w:type="spellStart"/>
      <w:r w:rsidR="00664301" w:rsidRPr="00664301">
        <w:rPr>
          <w:rStyle w:val="hps"/>
          <w:rFonts w:ascii="Times New Roman" w:hAnsi="Times New Roman"/>
          <w:sz w:val="24"/>
          <w:szCs w:val="24"/>
          <w:lang w:val="en-US"/>
        </w:rPr>
        <w:t>Sertão</w:t>
      </w:r>
      <w:proofErr w:type="spellEnd"/>
      <w:r w:rsidR="00664301" w:rsidRPr="00664301">
        <w:rPr>
          <w:rStyle w:val="hps"/>
          <w:rFonts w:ascii="Times New Roman" w:hAnsi="Times New Roman"/>
          <w:sz w:val="24"/>
          <w:szCs w:val="24"/>
          <w:lang w:val="en-US"/>
        </w:rPr>
        <w:t xml:space="preserve"> of</w:t>
      </w:r>
      <w:r w:rsidR="00664301" w:rsidRPr="00664301">
        <w:rPr>
          <w:rFonts w:ascii="Times New Roman" w:hAnsi="Times New Roman"/>
          <w:sz w:val="24"/>
          <w:szCs w:val="24"/>
          <w:lang w:val="en-US"/>
        </w:rPr>
        <w:t xml:space="preserve"> </w:t>
      </w:r>
      <w:r w:rsidR="00664301" w:rsidRPr="00664301">
        <w:rPr>
          <w:rStyle w:val="hps"/>
          <w:rFonts w:ascii="Times New Roman" w:hAnsi="Times New Roman"/>
          <w:sz w:val="24"/>
          <w:szCs w:val="24"/>
          <w:lang w:val="en-US"/>
        </w:rPr>
        <w:t>San Francisco (D).</w:t>
      </w:r>
    </w:p>
    <w:p w:rsidR="006D0856" w:rsidRPr="00526AA2" w:rsidRDefault="006D0856" w:rsidP="00753FA3">
      <w:pPr>
        <w:spacing w:line="480" w:lineRule="auto"/>
        <w:ind w:right="-1"/>
        <w:jc w:val="both"/>
        <w:rPr>
          <w:rFonts w:ascii="Times New Roman" w:hAnsi="Times New Roman"/>
          <w:sz w:val="24"/>
          <w:szCs w:val="24"/>
        </w:rPr>
      </w:pPr>
      <w:r w:rsidRPr="00664301">
        <w:rPr>
          <w:rFonts w:ascii="Times New Roman" w:hAnsi="Times New Roman"/>
          <w:lang w:val="en-US"/>
        </w:rPr>
        <w:tab/>
      </w:r>
      <w:r w:rsidRPr="00526AA2">
        <w:rPr>
          <w:rFonts w:ascii="Times New Roman" w:hAnsi="Times New Roman"/>
          <w:sz w:val="24"/>
          <w:szCs w:val="24"/>
        </w:rPr>
        <w:t>A distribuição espacial apresentou para a precipitação, 1700 mm ano</w:t>
      </w:r>
      <w:r w:rsidRPr="00526AA2">
        <w:rPr>
          <w:rFonts w:ascii="Times New Roman" w:hAnsi="Times New Roman"/>
          <w:sz w:val="24"/>
          <w:szCs w:val="24"/>
          <w:vertAlign w:val="superscript"/>
        </w:rPr>
        <w:t>-1</w:t>
      </w:r>
      <w:r w:rsidRPr="00526AA2">
        <w:rPr>
          <w:rFonts w:ascii="Times New Roman" w:hAnsi="Times New Roman"/>
          <w:sz w:val="24"/>
          <w:szCs w:val="24"/>
        </w:rPr>
        <w:t>, para a Mesorregião da Zona da Mata, 1200 a 1000 mm ano</w:t>
      </w:r>
      <w:r w:rsidRPr="00526AA2">
        <w:rPr>
          <w:rFonts w:ascii="Times New Roman" w:hAnsi="Times New Roman"/>
          <w:sz w:val="24"/>
          <w:szCs w:val="24"/>
          <w:vertAlign w:val="superscript"/>
        </w:rPr>
        <w:t>-1</w:t>
      </w:r>
      <w:r w:rsidRPr="00526AA2">
        <w:rPr>
          <w:rFonts w:ascii="Times New Roman" w:hAnsi="Times New Roman"/>
          <w:sz w:val="24"/>
          <w:szCs w:val="24"/>
        </w:rPr>
        <w:t>, para a região do Agreste e 200 a 400 mm ano</w:t>
      </w:r>
      <w:r w:rsidRPr="00526AA2">
        <w:rPr>
          <w:rFonts w:ascii="Times New Roman" w:hAnsi="Times New Roman"/>
          <w:sz w:val="24"/>
          <w:szCs w:val="24"/>
          <w:vertAlign w:val="superscript"/>
        </w:rPr>
        <w:t>-1</w:t>
      </w:r>
      <w:r w:rsidRPr="00526AA2">
        <w:rPr>
          <w:rFonts w:ascii="Times New Roman" w:hAnsi="Times New Roman"/>
          <w:sz w:val="24"/>
          <w:szCs w:val="24"/>
        </w:rPr>
        <w:t>, para as mesorregiões do Sertão e Sertão do S</w:t>
      </w:r>
      <w:r>
        <w:rPr>
          <w:rFonts w:ascii="Times New Roman" w:hAnsi="Times New Roman"/>
          <w:sz w:val="24"/>
          <w:szCs w:val="24"/>
        </w:rPr>
        <w:t>ão Francisco em média (Figura 10</w:t>
      </w:r>
      <w:r w:rsidRPr="00526AA2">
        <w:rPr>
          <w:rFonts w:ascii="Times New Roman" w:hAnsi="Times New Roman"/>
          <w:sz w:val="24"/>
          <w:szCs w:val="24"/>
        </w:rPr>
        <w:t>A). A ETP apresentou variabilidade em todas as mesorregiões com os menores índices no Agreste meridional com 1000 mm ano</w:t>
      </w:r>
      <w:r w:rsidRPr="00526AA2">
        <w:rPr>
          <w:rFonts w:ascii="Times New Roman" w:hAnsi="Times New Roman"/>
          <w:sz w:val="24"/>
          <w:szCs w:val="24"/>
          <w:vertAlign w:val="superscript"/>
        </w:rPr>
        <w:t>-1</w:t>
      </w:r>
      <w:r>
        <w:rPr>
          <w:rFonts w:ascii="Times New Roman" w:hAnsi="Times New Roman"/>
          <w:sz w:val="24"/>
          <w:szCs w:val="24"/>
        </w:rPr>
        <w:t xml:space="preserve"> (Figura 10</w:t>
      </w:r>
      <w:r w:rsidRPr="00526AA2">
        <w:rPr>
          <w:rFonts w:ascii="Times New Roman" w:hAnsi="Times New Roman"/>
          <w:sz w:val="24"/>
          <w:szCs w:val="24"/>
        </w:rPr>
        <w:t xml:space="preserve">B). A ETR </w:t>
      </w:r>
      <w:r>
        <w:rPr>
          <w:rFonts w:ascii="Times New Roman" w:hAnsi="Times New Roman"/>
          <w:sz w:val="24"/>
          <w:szCs w:val="24"/>
        </w:rPr>
        <w:t>(Figura 10</w:t>
      </w:r>
      <w:r w:rsidRPr="00526AA2">
        <w:rPr>
          <w:rFonts w:ascii="Times New Roman" w:hAnsi="Times New Roman"/>
          <w:sz w:val="24"/>
          <w:szCs w:val="24"/>
        </w:rPr>
        <w:t xml:space="preserve">C) apresentou </w:t>
      </w:r>
      <w:proofErr w:type="gramStart"/>
      <w:r w:rsidRPr="00526AA2">
        <w:rPr>
          <w:rFonts w:ascii="Times New Roman" w:hAnsi="Times New Roman"/>
          <w:sz w:val="24"/>
          <w:szCs w:val="24"/>
        </w:rPr>
        <w:t>baixa taxas</w:t>
      </w:r>
      <w:proofErr w:type="gramEnd"/>
      <w:r w:rsidRPr="00526AA2">
        <w:rPr>
          <w:rFonts w:ascii="Times New Roman" w:hAnsi="Times New Roman"/>
          <w:sz w:val="24"/>
          <w:szCs w:val="24"/>
        </w:rPr>
        <w:t xml:space="preserve"> na Mesorregião do Sertão do São Francisco com 400 mm ano</w:t>
      </w:r>
      <w:r w:rsidRPr="00526AA2">
        <w:rPr>
          <w:rFonts w:ascii="Times New Roman" w:hAnsi="Times New Roman"/>
          <w:sz w:val="24"/>
          <w:szCs w:val="24"/>
          <w:vertAlign w:val="superscript"/>
        </w:rPr>
        <w:t>-1</w:t>
      </w:r>
      <w:r w:rsidRPr="00526AA2">
        <w:rPr>
          <w:rFonts w:ascii="Times New Roman" w:hAnsi="Times New Roman"/>
          <w:sz w:val="24"/>
          <w:szCs w:val="24"/>
        </w:rPr>
        <w:t>, provavelmente devido a baixa disponibilidade hídrica durante todo ano na região (Figura</w:t>
      </w:r>
      <w:r>
        <w:rPr>
          <w:rFonts w:ascii="Times New Roman" w:hAnsi="Times New Roman"/>
          <w:sz w:val="24"/>
          <w:szCs w:val="24"/>
        </w:rPr>
        <w:t xml:space="preserve"> 10D). A figura 10</w:t>
      </w:r>
      <w:r w:rsidRPr="00526AA2">
        <w:rPr>
          <w:rFonts w:ascii="Times New Roman" w:hAnsi="Times New Roman"/>
          <w:sz w:val="24"/>
          <w:szCs w:val="24"/>
        </w:rPr>
        <w:t xml:space="preserve">E apresenta a distribuição espacial do excedente hídrico para o Estado observando-se neste os menores valores para as mesorregiões do </w:t>
      </w:r>
      <w:r w:rsidRPr="00526AA2">
        <w:rPr>
          <w:rFonts w:ascii="Times New Roman" w:hAnsi="Times New Roman"/>
          <w:sz w:val="24"/>
          <w:szCs w:val="24"/>
        </w:rPr>
        <w:lastRenderedPageBreak/>
        <w:t xml:space="preserve">Sertão do São Francisco apresentando a necessidade de irrigação para o cultivo durante todo o ano. </w:t>
      </w:r>
      <w:r>
        <w:rPr>
          <w:rFonts w:ascii="Times New Roman" w:hAnsi="Times New Roman"/>
          <w:sz w:val="24"/>
          <w:szCs w:val="24"/>
        </w:rPr>
        <w:t>A deficiência hídrica (Figura 10</w:t>
      </w:r>
      <w:r w:rsidRPr="00526AA2">
        <w:rPr>
          <w:rFonts w:ascii="Times New Roman" w:hAnsi="Times New Roman"/>
          <w:sz w:val="24"/>
          <w:szCs w:val="24"/>
        </w:rPr>
        <w:t>F) atingiu os menores valores na Zona da Mata Sul de Pernambuco devido às elevadas chuvas durante o ano na região, e as maiores taxas no Sertão do São Francisco com 1450 mm ano</w:t>
      </w:r>
      <w:r w:rsidRPr="00526AA2">
        <w:rPr>
          <w:rFonts w:ascii="Times New Roman" w:hAnsi="Times New Roman"/>
          <w:sz w:val="24"/>
          <w:szCs w:val="24"/>
          <w:vertAlign w:val="superscript"/>
        </w:rPr>
        <w:t>-1</w:t>
      </w:r>
      <w:r w:rsidRPr="00526AA2">
        <w:rPr>
          <w:rFonts w:ascii="Times New Roman" w:hAnsi="Times New Roman"/>
          <w:sz w:val="24"/>
          <w:szCs w:val="24"/>
        </w:rPr>
        <w:t xml:space="preserve">.  </w:t>
      </w:r>
      <w:r>
        <w:rPr>
          <w:rFonts w:ascii="Times New Roman" w:hAnsi="Times New Roman"/>
          <w:sz w:val="24"/>
          <w:szCs w:val="24"/>
        </w:rPr>
        <w:t>Segundo S</w:t>
      </w:r>
      <w:r w:rsidR="003017D0">
        <w:rPr>
          <w:rFonts w:ascii="Times New Roman" w:hAnsi="Times New Roman"/>
          <w:sz w:val="24"/>
          <w:szCs w:val="24"/>
        </w:rPr>
        <w:t>ILVA</w:t>
      </w:r>
      <w:r>
        <w:rPr>
          <w:rFonts w:ascii="Times New Roman" w:hAnsi="Times New Roman"/>
          <w:sz w:val="24"/>
          <w:szCs w:val="24"/>
        </w:rPr>
        <w:t xml:space="preserve"> </w:t>
      </w:r>
      <w:proofErr w:type="spellStart"/>
      <w:proofErr w:type="gramStart"/>
      <w:r>
        <w:rPr>
          <w:rFonts w:ascii="Times New Roman" w:hAnsi="Times New Roman"/>
          <w:sz w:val="24"/>
          <w:szCs w:val="24"/>
        </w:rPr>
        <w:t>et</w:t>
      </w:r>
      <w:proofErr w:type="spellEnd"/>
      <w:proofErr w:type="gramEnd"/>
      <w:r>
        <w:rPr>
          <w:rFonts w:ascii="Times New Roman" w:hAnsi="Times New Roman"/>
          <w:sz w:val="24"/>
          <w:szCs w:val="24"/>
        </w:rPr>
        <w:t xml:space="preserve"> al. (2011) em estudos com zoneamento</w:t>
      </w:r>
      <w:r w:rsidR="0066748B">
        <w:rPr>
          <w:rFonts w:ascii="Times New Roman" w:hAnsi="Times New Roman"/>
          <w:sz w:val="24"/>
          <w:szCs w:val="24"/>
        </w:rPr>
        <w:t>,</w:t>
      </w:r>
      <w:r>
        <w:rPr>
          <w:rFonts w:ascii="Times New Roman" w:hAnsi="Times New Roman"/>
          <w:sz w:val="24"/>
          <w:szCs w:val="24"/>
        </w:rPr>
        <w:t xml:space="preserve"> o cultivo em áreas de elevados períodos de déficit hídricos como onde se encontram as Mesorregiões do Sertão e Sertão do São Francisco as culturas devem apresentar adaptabilidade ao clima além de ser irrigadas adequadamente.  </w:t>
      </w:r>
    </w:p>
    <w:p w:rsidR="006D0856" w:rsidRPr="00526AA2" w:rsidRDefault="00E354FE" w:rsidP="00753FA3">
      <w:pPr>
        <w:spacing w:line="480" w:lineRule="auto"/>
        <w:ind w:right="-1"/>
        <w:rPr>
          <w:rFonts w:ascii="Times New Roman" w:hAnsi="Times New Roman"/>
        </w:rPr>
      </w:pPr>
      <w:r>
        <w:rPr>
          <w:rFonts w:ascii="Times New Roman" w:hAnsi="Times New Roman"/>
          <w:noProof/>
          <w:lang w:eastAsia="pt-BR"/>
        </w:rPr>
        <w:drawing>
          <wp:inline distT="0" distB="0" distL="0" distR="0">
            <wp:extent cx="5536429" cy="3479800"/>
            <wp:effectExtent l="19050" t="0" r="7121" b="0"/>
            <wp:docPr id="5" name="Imagem 4" descr="fi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33" cstate="print"/>
                    <a:stretch>
                      <a:fillRect/>
                    </a:stretch>
                  </pic:blipFill>
                  <pic:spPr>
                    <a:xfrm>
                      <a:off x="0" y="0"/>
                      <a:ext cx="5539034" cy="3481438"/>
                    </a:xfrm>
                    <a:prstGeom prst="rect">
                      <a:avLst/>
                    </a:prstGeom>
                  </pic:spPr>
                </pic:pic>
              </a:graphicData>
            </a:graphic>
          </wp:inline>
        </w:drawing>
      </w:r>
      <w:r w:rsidR="006D0856" w:rsidRPr="00526AA2">
        <w:rPr>
          <w:rFonts w:ascii="Times New Roman" w:hAnsi="Times New Roman"/>
        </w:rPr>
        <w:tab/>
      </w:r>
    </w:p>
    <w:p w:rsidR="006D0856" w:rsidRPr="00664301" w:rsidRDefault="006D0856" w:rsidP="00753FA3">
      <w:pPr>
        <w:autoSpaceDE w:val="0"/>
        <w:autoSpaceDN w:val="0"/>
        <w:adjustRightInd w:val="0"/>
        <w:spacing w:after="0" w:line="480" w:lineRule="auto"/>
        <w:jc w:val="both"/>
        <w:rPr>
          <w:rFonts w:ascii="Times New Roman" w:hAnsi="Times New Roman"/>
          <w:sz w:val="24"/>
          <w:szCs w:val="24"/>
          <w:lang w:val="en-US"/>
        </w:rPr>
      </w:pPr>
      <w:proofErr w:type="gramStart"/>
      <w:r w:rsidRPr="00664301">
        <w:rPr>
          <w:rFonts w:ascii="Times New Roman" w:hAnsi="Times New Roman"/>
          <w:b/>
          <w:sz w:val="24"/>
          <w:szCs w:val="24"/>
          <w:lang w:val="en-US"/>
        </w:rPr>
        <w:t>Figur</w:t>
      </w:r>
      <w:r w:rsidR="00664301" w:rsidRPr="00664301">
        <w:rPr>
          <w:rFonts w:ascii="Times New Roman" w:hAnsi="Times New Roman"/>
          <w:b/>
          <w:sz w:val="24"/>
          <w:szCs w:val="24"/>
          <w:lang w:val="en-US"/>
        </w:rPr>
        <w:t>e</w:t>
      </w:r>
      <w:r w:rsidRPr="00664301">
        <w:rPr>
          <w:rFonts w:ascii="Times New Roman" w:hAnsi="Times New Roman"/>
          <w:b/>
          <w:sz w:val="24"/>
          <w:szCs w:val="24"/>
          <w:lang w:val="en-US"/>
        </w:rPr>
        <w:t xml:space="preserve"> 10</w:t>
      </w:r>
      <w:r w:rsidRPr="00664301">
        <w:rPr>
          <w:rFonts w:ascii="Times New Roman" w:hAnsi="Times New Roman"/>
          <w:sz w:val="24"/>
          <w:szCs w:val="24"/>
          <w:lang w:val="en-US"/>
        </w:rPr>
        <w:t>.</w:t>
      </w:r>
      <w:proofErr w:type="gramEnd"/>
      <w:r w:rsidRPr="00664301">
        <w:rPr>
          <w:rFonts w:ascii="Times New Roman" w:hAnsi="Times New Roman"/>
          <w:sz w:val="24"/>
          <w:szCs w:val="24"/>
          <w:lang w:val="en-US"/>
        </w:rPr>
        <w:t xml:space="preserve"> </w:t>
      </w:r>
      <w:r w:rsidR="00664301" w:rsidRPr="00664301">
        <w:rPr>
          <w:rStyle w:val="hps"/>
          <w:rFonts w:ascii="Times New Roman" w:hAnsi="Times New Roman"/>
          <w:sz w:val="24"/>
          <w:szCs w:val="24"/>
          <w:lang w:val="en-US"/>
        </w:rPr>
        <w:t>Spatial distributions</w:t>
      </w:r>
      <w:r w:rsidR="00664301" w:rsidRPr="00664301">
        <w:rPr>
          <w:rStyle w:val="longtext"/>
          <w:rFonts w:ascii="Times New Roman" w:hAnsi="Times New Roman"/>
          <w:sz w:val="24"/>
          <w:szCs w:val="24"/>
          <w:lang w:val="en-US"/>
        </w:rPr>
        <w:t xml:space="preserve"> </w:t>
      </w:r>
      <w:r w:rsidR="00664301" w:rsidRPr="00664301">
        <w:rPr>
          <w:rStyle w:val="hps"/>
          <w:rFonts w:ascii="Times New Roman" w:hAnsi="Times New Roman"/>
          <w:sz w:val="24"/>
          <w:szCs w:val="24"/>
          <w:lang w:val="en-US"/>
        </w:rPr>
        <w:t>of annual precipitation</w:t>
      </w:r>
      <w:r w:rsidR="00664301" w:rsidRPr="00664301">
        <w:rPr>
          <w:rStyle w:val="longtext"/>
          <w:rFonts w:ascii="Times New Roman" w:hAnsi="Times New Roman"/>
          <w:sz w:val="24"/>
          <w:szCs w:val="24"/>
          <w:lang w:val="en-US"/>
        </w:rPr>
        <w:t xml:space="preserve"> </w:t>
      </w:r>
      <w:r w:rsidR="00664301" w:rsidRPr="00664301">
        <w:rPr>
          <w:rStyle w:val="hps"/>
          <w:rFonts w:ascii="Times New Roman" w:hAnsi="Times New Roman"/>
          <w:sz w:val="24"/>
          <w:szCs w:val="24"/>
          <w:lang w:val="en-US"/>
        </w:rPr>
        <w:t>in Pernambuco (</w:t>
      </w:r>
      <w:r w:rsidR="00664301" w:rsidRPr="00664301">
        <w:rPr>
          <w:rStyle w:val="longtext"/>
          <w:rFonts w:ascii="Times New Roman" w:hAnsi="Times New Roman"/>
          <w:sz w:val="24"/>
          <w:szCs w:val="24"/>
          <w:lang w:val="en-US"/>
        </w:rPr>
        <w:t xml:space="preserve">A) </w:t>
      </w:r>
      <w:r w:rsidR="00664301" w:rsidRPr="00664301">
        <w:rPr>
          <w:rStyle w:val="hps"/>
          <w:rFonts w:ascii="Times New Roman" w:hAnsi="Times New Roman"/>
          <w:sz w:val="24"/>
          <w:szCs w:val="24"/>
          <w:lang w:val="en-US"/>
        </w:rPr>
        <w:t>Potential evapotranspiration</w:t>
      </w:r>
      <w:r w:rsidR="00664301" w:rsidRPr="00664301">
        <w:rPr>
          <w:rStyle w:val="longtext"/>
          <w:rFonts w:ascii="Times New Roman" w:hAnsi="Times New Roman"/>
          <w:sz w:val="24"/>
          <w:szCs w:val="24"/>
          <w:lang w:val="en-US"/>
        </w:rPr>
        <w:t xml:space="preserve"> </w:t>
      </w:r>
      <w:r w:rsidR="00664301" w:rsidRPr="00664301">
        <w:rPr>
          <w:rStyle w:val="hps"/>
          <w:rFonts w:ascii="Times New Roman" w:hAnsi="Times New Roman"/>
          <w:sz w:val="24"/>
          <w:szCs w:val="24"/>
          <w:lang w:val="en-US"/>
        </w:rPr>
        <w:t>(</w:t>
      </w:r>
      <w:r w:rsidR="00664301" w:rsidRPr="00664301">
        <w:rPr>
          <w:rStyle w:val="longtext"/>
          <w:rFonts w:ascii="Times New Roman" w:hAnsi="Times New Roman"/>
          <w:sz w:val="24"/>
          <w:szCs w:val="24"/>
          <w:lang w:val="en-US"/>
        </w:rPr>
        <w:t xml:space="preserve">B) </w:t>
      </w:r>
      <w:r w:rsidR="00E354FE">
        <w:rPr>
          <w:rStyle w:val="hps"/>
          <w:rFonts w:ascii="Times New Roman" w:hAnsi="Times New Roman"/>
          <w:sz w:val="24"/>
          <w:szCs w:val="24"/>
          <w:lang w:val="en-US"/>
        </w:rPr>
        <w:t xml:space="preserve">Real </w:t>
      </w:r>
      <w:r w:rsidR="00664301" w:rsidRPr="00664301">
        <w:rPr>
          <w:rStyle w:val="hps"/>
          <w:rFonts w:ascii="Times New Roman" w:hAnsi="Times New Roman"/>
          <w:sz w:val="24"/>
          <w:szCs w:val="24"/>
          <w:lang w:val="en-US"/>
        </w:rPr>
        <w:t>evapotranspiration</w:t>
      </w:r>
      <w:r w:rsidR="00664301" w:rsidRPr="00664301">
        <w:rPr>
          <w:rStyle w:val="longtext"/>
          <w:rFonts w:ascii="Times New Roman" w:hAnsi="Times New Roman"/>
          <w:sz w:val="24"/>
          <w:szCs w:val="24"/>
          <w:lang w:val="en-US"/>
        </w:rPr>
        <w:t xml:space="preserve"> </w:t>
      </w:r>
      <w:r w:rsidR="00664301" w:rsidRPr="00664301">
        <w:rPr>
          <w:rStyle w:val="hps"/>
          <w:rFonts w:ascii="Times New Roman" w:hAnsi="Times New Roman"/>
          <w:sz w:val="24"/>
          <w:szCs w:val="24"/>
          <w:lang w:val="en-US"/>
        </w:rPr>
        <w:t>(C),</w:t>
      </w:r>
      <w:r w:rsidR="00664301" w:rsidRPr="00664301">
        <w:rPr>
          <w:rStyle w:val="longtext"/>
          <w:rFonts w:ascii="Times New Roman" w:hAnsi="Times New Roman"/>
          <w:sz w:val="24"/>
          <w:szCs w:val="24"/>
          <w:lang w:val="en-US"/>
        </w:rPr>
        <w:t xml:space="preserve"> </w:t>
      </w:r>
      <w:r w:rsidR="00664301" w:rsidRPr="00664301">
        <w:rPr>
          <w:rStyle w:val="hps"/>
          <w:rFonts w:ascii="Times New Roman" w:hAnsi="Times New Roman"/>
          <w:sz w:val="24"/>
          <w:szCs w:val="24"/>
          <w:lang w:val="en-US"/>
        </w:rPr>
        <w:t>water availability (</w:t>
      </w:r>
      <w:r w:rsidR="00664301">
        <w:rPr>
          <w:rStyle w:val="hps"/>
          <w:rFonts w:ascii="Times New Roman" w:hAnsi="Times New Roman"/>
          <w:sz w:val="24"/>
          <w:szCs w:val="24"/>
          <w:lang w:val="en-US"/>
        </w:rPr>
        <w:t>R</w:t>
      </w:r>
      <w:r w:rsidR="00664301" w:rsidRPr="00664301">
        <w:rPr>
          <w:rStyle w:val="longtext"/>
          <w:rFonts w:ascii="Times New Roman" w:hAnsi="Times New Roman"/>
          <w:sz w:val="24"/>
          <w:szCs w:val="24"/>
          <w:lang w:val="en-US"/>
        </w:rPr>
        <w:t xml:space="preserve">ET </w:t>
      </w:r>
      <w:r w:rsidR="00664301" w:rsidRPr="00664301">
        <w:rPr>
          <w:rStyle w:val="hps"/>
          <w:rFonts w:ascii="Times New Roman" w:hAnsi="Times New Roman"/>
          <w:sz w:val="24"/>
          <w:szCs w:val="24"/>
          <w:lang w:val="en-US"/>
        </w:rPr>
        <w:t>/</w:t>
      </w:r>
      <w:r w:rsidR="00664301">
        <w:rPr>
          <w:rStyle w:val="hps"/>
          <w:rFonts w:ascii="Times New Roman" w:hAnsi="Times New Roman"/>
          <w:sz w:val="24"/>
          <w:szCs w:val="24"/>
          <w:lang w:val="en-US"/>
        </w:rPr>
        <w:t>P</w:t>
      </w:r>
      <w:r w:rsidR="00664301" w:rsidRPr="00664301">
        <w:rPr>
          <w:rStyle w:val="hps"/>
          <w:rFonts w:ascii="Times New Roman" w:hAnsi="Times New Roman"/>
          <w:sz w:val="24"/>
          <w:szCs w:val="24"/>
          <w:lang w:val="en-US"/>
        </w:rPr>
        <w:t>ET</w:t>
      </w:r>
      <w:r w:rsidR="00664301" w:rsidRPr="00664301">
        <w:rPr>
          <w:rStyle w:val="atn"/>
          <w:rFonts w:ascii="Times New Roman" w:hAnsi="Times New Roman"/>
          <w:sz w:val="24"/>
          <w:szCs w:val="24"/>
          <w:lang w:val="en-US"/>
        </w:rPr>
        <w:t>) (</w:t>
      </w:r>
      <w:r w:rsidR="00664301" w:rsidRPr="00664301">
        <w:rPr>
          <w:rStyle w:val="longtext"/>
          <w:rFonts w:ascii="Times New Roman" w:hAnsi="Times New Roman"/>
          <w:sz w:val="24"/>
          <w:szCs w:val="24"/>
          <w:lang w:val="en-US"/>
        </w:rPr>
        <w:t xml:space="preserve">D), </w:t>
      </w:r>
      <w:r w:rsidR="00664301" w:rsidRPr="00664301">
        <w:rPr>
          <w:rStyle w:val="hps"/>
          <w:rFonts w:ascii="Times New Roman" w:hAnsi="Times New Roman"/>
          <w:sz w:val="24"/>
          <w:szCs w:val="24"/>
          <w:lang w:val="en-US"/>
        </w:rPr>
        <w:t>water</w:t>
      </w:r>
      <w:r w:rsidR="00664301">
        <w:rPr>
          <w:rStyle w:val="hps"/>
          <w:rFonts w:ascii="Times New Roman" w:hAnsi="Times New Roman"/>
          <w:sz w:val="24"/>
          <w:szCs w:val="24"/>
          <w:lang w:val="en-US"/>
        </w:rPr>
        <w:t xml:space="preserve"> surplus</w:t>
      </w:r>
      <w:r w:rsidR="00664301" w:rsidRPr="00664301">
        <w:rPr>
          <w:rStyle w:val="longtext"/>
          <w:rFonts w:ascii="Times New Roman" w:hAnsi="Times New Roman"/>
          <w:sz w:val="24"/>
          <w:szCs w:val="24"/>
          <w:lang w:val="en-US"/>
        </w:rPr>
        <w:t xml:space="preserve"> </w:t>
      </w:r>
      <w:r w:rsidR="00664301" w:rsidRPr="00664301">
        <w:rPr>
          <w:rStyle w:val="hps"/>
          <w:rFonts w:ascii="Times New Roman" w:hAnsi="Times New Roman"/>
          <w:sz w:val="24"/>
          <w:szCs w:val="24"/>
          <w:lang w:val="en-US"/>
        </w:rPr>
        <w:t>(E</w:t>
      </w:r>
      <w:r w:rsidR="00664301" w:rsidRPr="00664301">
        <w:rPr>
          <w:rStyle w:val="longtext"/>
          <w:rFonts w:ascii="Times New Roman" w:hAnsi="Times New Roman"/>
          <w:sz w:val="24"/>
          <w:szCs w:val="24"/>
          <w:lang w:val="en-US"/>
        </w:rPr>
        <w:t xml:space="preserve">) and </w:t>
      </w:r>
      <w:r w:rsidR="00664301" w:rsidRPr="00664301">
        <w:rPr>
          <w:rStyle w:val="hps"/>
          <w:rFonts w:ascii="Times New Roman" w:hAnsi="Times New Roman"/>
          <w:sz w:val="24"/>
          <w:szCs w:val="24"/>
          <w:lang w:val="en-US"/>
        </w:rPr>
        <w:t>water</w:t>
      </w:r>
      <w:r w:rsidR="00664301" w:rsidRPr="00664301">
        <w:rPr>
          <w:rStyle w:val="longtext"/>
          <w:rFonts w:ascii="Times New Roman" w:hAnsi="Times New Roman"/>
          <w:sz w:val="24"/>
          <w:szCs w:val="24"/>
          <w:lang w:val="en-US"/>
        </w:rPr>
        <w:t xml:space="preserve"> </w:t>
      </w:r>
      <w:r w:rsidR="00664301" w:rsidRPr="00664301">
        <w:rPr>
          <w:rStyle w:val="hps"/>
          <w:rFonts w:ascii="Times New Roman" w:hAnsi="Times New Roman"/>
          <w:sz w:val="24"/>
          <w:szCs w:val="24"/>
          <w:lang w:val="en-US"/>
        </w:rPr>
        <w:t>deficit</w:t>
      </w:r>
      <w:r w:rsidR="00664301" w:rsidRPr="00664301">
        <w:rPr>
          <w:rStyle w:val="longtext"/>
          <w:rFonts w:ascii="Times New Roman" w:hAnsi="Times New Roman"/>
          <w:sz w:val="24"/>
          <w:szCs w:val="24"/>
          <w:lang w:val="en-US"/>
        </w:rPr>
        <w:t xml:space="preserve"> </w:t>
      </w:r>
      <w:r w:rsidR="00664301" w:rsidRPr="00664301">
        <w:rPr>
          <w:rStyle w:val="hps"/>
          <w:rFonts w:ascii="Times New Roman" w:hAnsi="Times New Roman"/>
          <w:sz w:val="24"/>
          <w:szCs w:val="24"/>
          <w:lang w:val="en-US"/>
        </w:rPr>
        <w:t>(</w:t>
      </w:r>
      <w:r w:rsidR="00664301" w:rsidRPr="00664301">
        <w:rPr>
          <w:rStyle w:val="longtext"/>
          <w:rFonts w:ascii="Times New Roman" w:hAnsi="Times New Roman"/>
          <w:sz w:val="24"/>
          <w:szCs w:val="24"/>
          <w:lang w:val="en-US"/>
        </w:rPr>
        <w:t xml:space="preserve">F) for </w:t>
      </w:r>
      <w:r w:rsidR="00664301" w:rsidRPr="00664301">
        <w:rPr>
          <w:rStyle w:val="hps"/>
          <w:rFonts w:ascii="Times New Roman" w:hAnsi="Times New Roman"/>
          <w:sz w:val="24"/>
          <w:szCs w:val="24"/>
          <w:lang w:val="en-US"/>
        </w:rPr>
        <w:t>dry years.</w:t>
      </w:r>
    </w:p>
    <w:p w:rsidR="006D0856" w:rsidRDefault="006D0856" w:rsidP="00753FA3">
      <w:pPr>
        <w:spacing w:after="0" w:line="480" w:lineRule="auto"/>
        <w:ind w:right="-1"/>
        <w:jc w:val="both"/>
        <w:rPr>
          <w:rStyle w:val="hps"/>
          <w:rFonts w:ascii="Times New Roman" w:hAnsi="Times New Roman"/>
          <w:sz w:val="24"/>
          <w:szCs w:val="24"/>
          <w:lang w:val="en-US"/>
        </w:rPr>
      </w:pPr>
    </w:p>
    <w:p w:rsidR="00E354FE" w:rsidRDefault="00E354FE" w:rsidP="00753FA3">
      <w:pPr>
        <w:spacing w:after="0" w:line="480" w:lineRule="auto"/>
        <w:ind w:right="-1"/>
        <w:jc w:val="both"/>
        <w:rPr>
          <w:rStyle w:val="hps"/>
          <w:rFonts w:ascii="Times New Roman" w:hAnsi="Times New Roman"/>
          <w:sz w:val="24"/>
          <w:szCs w:val="24"/>
          <w:lang w:val="en-US"/>
        </w:rPr>
      </w:pPr>
    </w:p>
    <w:p w:rsidR="00E354FE" w:rsidRPr="00664301" w:rsidRDefault="00E354FE" w:rsidP="00753FA3">
      <w:pPr>
        <w:spacing w:after="0" w:line="480" w:lineRule="auto"/>
        <w:ind w:right="-1"/>
        <w:jc w:val="both"/>
        <w:rPr>
          <w:rStyle w:val="hps"/>
          <w:rFonts w:ascii="Times New Roman" w:hAnsi="Times New Roman"/>
          <w:sz w:val="24"/>
          <w:szCs w:val="24"/>
          <w:lang w:val="en-US"/>
        </w:rPr>
      </w:pPr>
    </w:p>
    <w:p w:rsidR="006D0856" w:rsidRPr="00526AA2" w:rsidRDefault="006D0856" w:rsidP="003375BD">
      <w:pPr>
        <w:spacing w:line="480" w:lineRule="auto"/>
        <w:ind w:right="-1"/>
        <w:jc w:val="both"/>
        <w:rPr>
          <w:rFonts w:ascii="Times New Roman" w:hAnsi="Times New Roman"/>
          <w:b/>
          <w:sz w:val="24"/>
          <w:szCs w:val="24"/>
        </w:rPr>
      </w:pPr>
      <w:r>
        <w:rPr>
          <w:rFonts w:ascii="Times New Roman" w:hAnsi="Times New Roman"/>
          <w:b/>
          <w:sz w:val="24"/>
          <w:szCs w:val="24"/>
        </w:rPr>
        <w:lastRenderedPageBreak/>
        <w:t>C</w:t>
      </w:r>
      <w:r w:rsidR="003375BD" w:rsidRPr="00526AA2">
        <w:rPr>
          <w:rFonts w:ascii="Times New Roman" w:hAnsi="Times New Roman"/>
          <w:b/>
          <w:sz w:val="24"/>
          <w:szCs w:val="24"/>
        </w:rPr>
        <w:t>onclusão</w:t>
      </w:r>
    </w:p>
    <w:p w:rsidR="006D0856" w:rsidRPr="00526AA2" w:rsidRDefault="006D0856" w:rsidP="00753FA3">
      <w:pPr>
        <w:spacing w:line="480" w:lineRule="auto"/>
        <w:ind w:right="-1"/>
        <w:jc w:val="both"/>
        <w:rPr>
          <w:rFonts w:ascii="Times New Roman" w:hAnsi="Times New Roman"/>
          <w:sz w:val="24"/>
          <w:szCs w:val="24"/>
        </w:rPr>
      </w:pPr>
      <w:r w:rsidRPr="00526AA2">
        <w:rPr>
          <w:rFonts w:ascii="Times New Roman" w:hAnsi="Times New Roman"/>
          <w:sz w:val="24"/>
          <w:szCs w:val="24"/>
        </w:rPr>
        <w:tab/>
      </w:r>
      <w:r>
        <w:rPr>
          <w:rFonts w:ascii="Times New Roman" w:hAnsi="Times New Roman"/>
          <w:sz w:val="24"/>
          <w:szCs w:val="24"/>
        </w:rPr>
        <w:t xml:space="preserve">Os resultados obtidos neste trabalho sugerem que a espacialização </w:t>
      </w:r>
      <w:r w:rsidRPr="00526AA2">
        <w:rPr>
          <w:rFonts w:ascii="Times New Roman" w:hAnsi="Times New Roman"/>
          <w:sz w:val="24"/>
          <w:szCs w:val="24"/>
        </w:rPr>
        <w:t xml:space="preserve">dos valores do balanço hídrico climatológico </w:t>
      </w:r>
      <w:r>
        <w:rPr>
          <w:rFonts w:ascii="Times New Roman" w:hAnsi="Times New Roman"/>
          <w:sz w:val="24"/>
          <w:szCs w:val="24"/>
        </w:rPr>
        <w:t xml:space="preserve">através da geoestatística </w:t>
      </w:r>
      <w:r w:rsidRPr="00526AA2">
        <w:rPr>
          <w:rFonts w:ascii="Times New Roman" w:hAnsi="Times New Roman"/>
          <w:sz w:val="24"/>
          <w:szCs w:val="24"/>
        </w:rPr>
        <w:t>pode auxiliar os produtores com o manejo</w:t>
      </w:r>
      <w:r>
        <w:rPr>
          <w:rFonts w:ascii="Times New Roman" w:hAnsi="Times New Roman"/>
          <w:sz w:val="24"/>
          <w:szCs w:val="24"/>
        </w:rPr>
        <w:t xml:space="preserve"> mais adequado</w:t>
      </w:r>
      <w:r w:rsidRPr="00526AA2">
        <w:rPr>
          <w:rFonts w:ascii="Times New Roman" w:hAnsi="Times New Roman"/>
          <w:sz w:val="24"/>
          <w:szCs w:val="24"/>
        </w:rPr>
        <w:t xml:space="preserve"> </w:t>
      </w:r>
      <w:r>
        <w:rPr>
          <w:rFonts w:ascii="Times New Roman" w:hAnsi="Times New Roman"/>
          <w:sz w:val="24"/>
          <w:szCs w:val="24"/>
        </w:rPr>
        <w:t>da irrigação e, consequentemente, proporcionar uma</w:t>
      </w:r>
      <w:r w:rsidRPr="00526AA2">
        <w:rPr>
          <w:rFonts w:ascii="Times New Roman" w:hAnsi="Times New Roman"/>
          <w:sz w:val="24"/>
          <w:szCs w:val="24"/>
        </w:rPr>
        <w:t xml:space="preserve"> </w:t>
      </w:r>
      <w:r>
        <w:rPr>
          <w:rFonts w:ascii="Times New Roman" w:hAnsi="Times New Roman"/>
          <w:sz w:val="24"/>
          <w:szCs w:val="24"/>
        </w:rPr>
        <w:t xml:space="preserve">diminuição considerável na demanda por água para a agricultura irrigada. Neste contexto, a espacialização de dados ambientais torna-se uma importante ferramenta para a gestão dos recursos hídricos. </w:t>
      </w:r>
      <w:r w:rsidR="00575D93">
        <w:rPr>
          <w:rFonts w:ascii="Times New Roman" w:hAnsi="Times New Roman"/>
          <w:sz w:val="24"/>
          <w:szCs w:val="24"/>
        </w:rPr>
        <w:t>Porém, o</w:t>
      </w:r>
      <w:r w:rsidRPr="00526AA2">
        <w:rPr>
          <w:rFonts w:ascii="Times New Roman" w:hAnsi="Times New Roman"/>
          <w:sz w:val="24"/>
          <w:szCs w:val="24"/>
        </w:rPr>
        <w:t>s regimes pluviométricos e as variações d</w:t>
      </w:r>
      <w:r w:rsidR="00575D93">
        <w:rPr>
          <w:rFonts w:ascii="Times New Roman" w:hAnsi="Times New Roman"/>
          <w:sz w:val="24"/>
          <w:szCs w:val="24"/>
        </w:rPr>
        <w:t>e</w:t>
      </w:r>
      <w:r w:rsidRPr="00526AA2">
        <w:rPr>
          <w:rFonts w:ascii="Times New Roman" w:hAnsi="Times New Roman"/>
          <w:sz w:val="24"/>
          <w:szCs w:val="24"/>
        </w:rPr>
        <w:t xml:space="preserve"> temperaturadevido aos fenômenos climáticos devem ser levados em consideração para a determinação dos estudos com distribuição espacial.</w:t>
      </w:r>
    </w:p>
    <w:p w:rsidR="006D0856" w:rsidRDefault="006D0856" w:rsidP="00753FA3">
      <w:pPr>
        <w:spacing w:line="480" w:lineRule="auto"/>
        <w:ind w:right="-1"/>
        <w:rPr>
          <w:rFonts w:ascii="Times New Roman" w:hAnsi="Times New Roman"/>
        </w:rPr>
      </w:pPr>
    </w:p>
    <w:p w:rsidR="006D0856" w:rsidRPr="00526AA2" w:rsidRDefault="003375BD" w:rsidP="003375BD">
      <w:pPr>
        <w:spacing w:line="480" w:lineRule="auto"/>
        <w:ind w:right="-1"/>
        <w:jc w:val="both"/>
        <w:rPr>
          <w:rFonts w:ascii="Times New Roman" w:hAnsi="Times New Roman"/>
          <w:b/>
          <w:sz w:val="24"/>
          <w:szCs w:val="24"/>
        </w:rPr>
      </w:pPr>
      <w:r>
        <w:rPr>
          <w:rFonts w:ascii="Times New Roman" w:hAnsi="Times New Roman"/>
          <w:b/>
          <w:sz w:val="24"/>
          <w:szCs w:val="24"/>
        </w:rPr>
        <w:t xml:space="preserve">Referências bibliográficas </w:t>
      </w:r>
    </w:p>
    <w:p w:rsidR="000928AE" w:rsidRPr="00E354FE" w:rsidRDefault="006D0856" w:rsidP="000928AE">
      <w:pPr>
        <w:spacing w:before="120" w:after="120" w:line="240" w:lineRule="auto"/>
        <w:ind w:right="-1"/>
        <w:jc w:val="both"/>
        <w:rPr>
          <w:rFonts w:ascii="Times New Roman" w:hAnsi="Times New Roman"/>
          <w:sz w:val="24"/>
          <w:szCs w:val="24"/>
        </w:rPr>
      </w:pPr>
      <w:r w:rsidRPr="005353EC">
        <w:rPr>
          <w:rFonts w:ascii="Times New Roman" w:hAnsi="Times New Roman"/>
          <w:sz w:val="24"/>
          <w:szCs w:val="24"/>
        </w:rPr>
        <w:t>C</w:t>
      </w:r>
      <w:r w:rsidR="00753FA3" w:rsidRPr="005353EC">
        <w:rPr>
          <w:rFonts w:ascii="Times New Roman" w:hAnsi="Times New Roman"/>
          <w:sz w:val="24"/>
          <w:szCs w:val="24"/>
        </w:rPr>
        <w:t>ASTRO</w:t>
      </w:r>
      <w:r w:rsidRPr="005353EC">
        <w:rPr>
          <w:rFonts w:ascii="Times New Roman" w:hAnsi="Times New Roman"/>
          <w:sz w:val="24"/>
          <w:szCs w:val="24"/>
        </w:rPr>
        <w:t>, F. da S.; P</w:t>
      </w:r>
      <w:r w:rsidR="00753FA3" w:rsidRPr="005353EC">
        <w:rPr>
          <w:rFonts w:ascii="Times New Roman" w:hAnsi="Times New Roman"/>
          <w:sz w:val="24"/>
          <w:szCs w:val="24"/>
        </w:rPr>
        <w:t>EZZOPANE</w:t>
      </w:r>
      <w:r w:rsidRPr="005353EC">
        <w:rPr>
          <w:rFonts w:ascii="Times New Roman" w:hAnsi="Times New Roman"/>
          <w:sz w:val="24"/>
          <w:szCs w:val="24"/>
        </w:rPr>
        <w:t>, J. E. M.; C</w:t>
      </w:r>
      <w:r w:rsidR="00753FA3" w:rsidRPr="005353EC">
        <w:rPr>
          <w:rFonts w:ascii="Times New Roman" w:hAnsi="Times New Roman"/>
          <w:sz w:val="24"/>
          <w:szCs w:val="24"/>
        </w:rPr>
        <w:t>ECÍLIO</w:t>
      </w:r>
      <w:r w:rsidRPr="005353EC">
        <w:rPr>
          <w:rFonts w:ascii="Times New Roman" w:hAnsi="Times New Roman"/>
          <w:sz w:val="24"/>
          <w:szCs w:val="24"/>
        </w:rPr>
        <w:t>, R. A.; P</w:t>
      </w:r>
      <w:r w:rsidR="00753FA3" w:rsidRPr="005353EC">
        <w:rPr>
          <w:rFonts w:ascii="Times New Roman" w:hAnsi="Times New Roman"/>
          <w:sz w:val="24"/>
          <w:szCs w:val="24"/>
        </w:rPr>
        <w:t>EZZOPANE</w:t>
      </w:r>
      <w:r w:rsidRPr="005353EC">
        <w:rPr>
          <w:rFonts w:ascii="Times New Roman" w:hAnsi="Times New Roman"/>
          <w:sz w:val="24"/>
          <w:szCs w:val="24"/>
        </w:rPr>
        <w:t xml:space="preserve">, J. R. M.; Xavier, A. C. Avaliação do desempenho dos diferentes métodos de interpoladores para parâmetros do balanço hídrico climatológico. </w:t>
      </w:r>
      <w:r w:rsidRPr="005353EC">
        <w:rPr>
          <w:rFonts w:ascii="Times New Roman" w:hAnsi="Times New Roman"/>
          <w:b/>
          <w:sz w:val="24"/>
          <w:szCs w:val="24"/>
        </w:rPr>
        <w:t>Revista brasileira de engenharia agrícola e ambiental</w:t>
      </w:r>
      <w:r w:rsidRPr="005353EC">
        <w:rPr>
          <w:rFonts w:ascii="Times New Roman" w:hAnsi="Times New Roman"/>
          <w:sz w:val="24"/>
          <w:szCs w:val="24"/>
        </w:rPr>
        <w:t xml:space="preserve">, v.14, n.8, p.871-880, 2010. </w:t>
      </w:r>
    </w:p>
    <w:p w:rsidR="000928AE" w:rsidRPr="00E354FE" w:rsidRDefault="006D0856" w:rsidP="00E354FE">
      <w:pPr>
        <w:spacing w:before="120" w:after="120" w:line="240" w:lineRule="auto"/>
        <w:ind w:right="-1"/>
        <w:jc w:val="both"/>
        <w:rPr>
          <w:rFonts w:ascii="Times New Roman" w:hAnsi="Times New Roman"/>
          <w:color w:val="000000"/>
          <w:sz w:val="24"/>
          <w:szCs w:val="24"/>
          <w:lang w:val="en-US"/>
        </w:rPr>
      </w:pPr>
      <w:proofErr w:type="gramStart"/>
      <w:r w:rsidRPr="005353EC">
        <w:rPr>
          <w:rFonts w:ascii="Times New Roman" w:hAnsi="Times New Roman"/>
          <w:color w:val="000000"/>
          <w:sz w:val="24"/>
          <w:szCs w:val="24"/>
          <w:lang w:val="en-US"/>
        </w:rPr>
        <w:t>Golden Software.</w:t>
      </w:r>
      <w:proofErr w:type="gramEnd"/>
      <w:r w:rsidRPr="005353EC">
        <w:rPr>
          <w:rFonts w:ascii="Times New Roman" w:hAnsi="Times New Roman"/>
          <w:color w:val="000000"/>
          <w:sz w:val="24"/>
          <w:szCs w:val="24"/>
          <w:lang w:val="en-US"/>
        </w:rPr>
        <w:t xml:space="preserve"> </w:t>
      </w:r>
      <w:proofErr w:type="spellStart"/>
      <w:proofErr w:type="gramStart"/>
      <w:r w:rsidRPr="005353EC">
        <w:rPr>
          <w:rFonts w:ascii="Times New Roman" w:hAnsi="Times New Roman"/>
          <w:color w:val="000000"/>
          <w:sz w:val="24"/>
          <w:szCs w:val="24"/>
          <w:lang w:val="en-US"/>
        </w:rPr>
        <w:t>Sufer</w:t>
      </w:r>
      <w:proofErr w:type="spellEnd"/>
      <w:r w:rsidRPr="005353EC">
        <w:rPr>
          <w:rFonts w:ascii="Times New Roman" w:hAnsi="Times New Roman"/>
          <w:color w:val="000000"/>
          <w:sz w:val="24"/>
          <w:szCs w:val="24"/>
          <w:lang w:val="en-US"/>
        </w:rPr>
        <w:t>® version 8.03 (</w:t>
      </w:r>
      <w:proofErr w:type="spellStart"/>
      <w:r w:rsidRPr="005353EC">
        <w:rPr>
          <w:rFonts w:ascii="Times New Roman" w:hAnsi="Times New Roman"/>
          <w:color w:val="000000"/>
          <w:sz w:val="24"/>
          <w:szCs w:val="24"/>
          <w:lang w:val="en-US"/>
        </w:rPr>
        <w:t>versão</w:t>
      </w:r>
      <w:proofErr w:type="spellEnd"/>
      <w:r w:rsidRPr="005353EC">
        <w:rPr>
          <w:rFonts w:ascii="Times New Roman" w:hAnsi="Times New Roman"/>
          <w:color w:val="000000"/>
          <w:sz w:val="24"/>
          <w:szCs w:val="24"/>
          <w:lang w:val="en-US"/>
        </w:rPr>
        <w:t xml:space="preserve"> Demo).</w:t>
      </w:r>
      <w:proofErr w:type="gramEnd"/>
      <w:r w:rsidRPr="005353EC">
        <w:rPr>
          <w:rFonts w:ascii="Times New Roman" w:hAnsi="Times New Roman"/>
          <w:color w:val="000000"/>
          <w:sz w:val="24"/>
          <w:szCs w:val="24"/>
          <w:lang w:val="en-US"/>
        </w:rPr>
        <w:t xml:space="preserve"> </w:t>
      </w:r>
      <w:proofErr w:type="gramStart"/>
      <w:r w:rsidRPr="005353EC">
        <w:rPr>
          <w:rFonts w:ascii="Times New Roman" w:hAnsi="Times New Roman"/>
          <w:color w:val="000000"/>
          <w:sz w:val="24"/>
          <w:szCs w:val="24"/>
          <w:lang w:val="en-US"/>
        </w:rPr>
        <w:t>Golden, 2003.</w:t>
      </w:r>
      <w:proofErr w:type="gramEnd"/>
      <w:r w:rsidRPr="005353EC">
        <w:rPr>
          <w:rFonts w:ascii="Times New Roman" w:hAnsi="Times New Roman"/>
          <w:color w:val="000000"/>
          <w:sz w:val="24"/>
          <w:szCs w:val="24"/>
          <w:lang w:val="en-US"/>
        </w:rPr>
        <w:t xml:space="preserve"> </w:t>
      </w:r>
      <w:proofErr w:type="gramStart"/>
      <w:r w:rsidRPr="005353EC">
        <w:rPr>
          <w:rFonts w:ascii="Times New Roman" w:hAnsi="Times New Roman"/>
          <w:color w:val="000000"/>
          <w:sz w:val="24"/>
          <w:szCs w:val="24"/>
          <w:lang w:val="en-US"/>
        </w:rPr>
        <w:t>Software.</w:t>
      </w:r>
      <w:proofErr w:type="gramEnd"/>
      <w:r w:rsidRPr="005353EC">
        <w:rPr>
          <w:rFonts w:ascii="Times New Roman" w:hAnsi="Times New Roman"/>
          <w:color w:val="000000"/>
          <w:sz w:val="24"/>
          <w:szCs w:val="24"/>
          <w:lang w:val="en-US"/>
        </w:rPr>
        <w:t xml:space="preserve"> </w:t>
      </w:r>
      <w:r w:rsidR="00026642">
        <w:fldChar w:fldCharType="begin"/>
      </w:r>
      <w:r w:rsidR="00026642" w:rsidRPr="001013B1">
        <w:rPr>
          <w:lang w:val="en-US"/>
        </w:rPr>
        <w:instrText>HYPERLINK "http://www.goldensoftware.com/demo.shtml"</w:instrText>
      </w:r>
      <w:r w:rsidR="00026642">
        <w:fldChar w:fldCharType="separate"/>
      </w:r>
      <w:r w:rsidRPr="005353EC">
        <w:rPr>
          <w:rStyle w:val="Hyperlink"/>
          <w:rFonts w:ascii="Times New Roman" w:hAnsi="Times New Roman"/>
          <w:sz w:val="24"/>
          <w:szCs w:val="24"/>
          <w:lang w:val="en-US"/>
        </w:rPr>
        <w:t>http://www.goldensoftware.com/demo.shtml</w:t>
      </w:r>
      <w:r w:rsidR="00026642">
        <w:fldChar w:fldCharType="end"/>
      </w:r>
      <w:r w:rsidRPr="005353EC">
        <w:rPr>
          <w:rFonts w:ascii="Times New Roman" w:hAnsi="Times New Roman"/>
          <w:color w:val="000000"/>
          <w:sz w:val="24"/>
          <w:szCs w:val="24"/>
          <w:lang w:val="en-US"/>
        </w:rPr>
        <w:t xml:space="preserve">. 13 </w:t>
      </w:r>
      <w:proofErr w:type="spellStart"/>
      <w:proofErr w:type="gramStart"/>
      <w:r w:rsidRPr="005353EC">
        <w:rPr>
          <w:rFonts w:ascii="Times New Roman" w:hAnsi="Times New Roman"/>
          <w:color w:val="000000"/>
          <w:sz w:val="24"/>
          <w:szCs w:val="24"/>
          <w:lang w:val="en-US"/>
        </w:rPr>
        <w:t>jan</w:t>
      </w:r>
      <w:proofErr w:type="spellEnd"/>
      <w:proofErr w:type="gramEnd"/>
      <w:r w:rsidRPr="005353EC">
        <w:rPr>
          <w:rFonts w:ascii="Times New Roman" w:hAnsi="Times New Roman"/>
          <w:color w:val="000000"/>
          <w:sz w:val="24"/>
          <w:szCs w:val="24"/>
          <w:lang w:val="en-US"/>
        </w:rPr>
        <w:t xml:space="preserve">. 2006.  </w:t>
      </w:r>
    </w:p>
    <w:p w:rsidR="000928AE" w:rsidRDefault="006D0856" w:rsidP="00E354FE">
      <w:pPr>
        <w:autoSpaceDE w:val="0"/>
        <w:autoSpaceDN w:val="0"/>
        <w:adjustRightInd w:val="0"/>
        <w:spacing w:before="120" w:after="120" w:line="240" w:lineRule="auto"/>
        <w:jc w:val="both"/>
        <w:rPr>
          <w:rFonts w:ascii="Times New Roman" w:hAnsi="Times New Roman"/>
          <w:color w:val="000000"/>
          <w:sz w:val="24"/>
          <w:szCs w:val="24"/>
        </w:rPr>
      </w:pPr>
      <w:r w:rsidRPr="005353EC">
        <w:rPr>
          <w:rFonts w:ascii="Times New Roman" w:hAnsi="Times New Roman"/>
          <w:sz w:val="24"/>
          <w:szCs w:val="24"/>
          <w:lang w:val="en-US"/>
        </w:rPr>
        <w:t>H</w:t>
      </w:r>
      <w:r w:rsidR="00753FA3" w:rsidRPr="005353EC">
        <w:rPr>
          <w:rFonts w:ascii="Times New Roman" w:hAnsi="Times New Roman"/>
          <w:sz w:val="24"/>
          <w:szCs w:val="24"/>
          <w:lang w:val="en-US"/>
        </w:rPr>
        <w:t>OOGENBOOM</w:t>
      </w:r>
      <w:r w:rsidRPr="005353EC">
        <w:rPr>
          <w:rFonts w:ascii="Times New Roman" w:hAnsi="Times New Roman"/>
          <w:sz w:val="24"/>
          <w:szCs w:val="24"/>
          <w:lang w:val="en-US"/>
        </w:rPr>
        <w:t xml:space="preserve">, G. </w:t>
      </w:r>
      <w:proofErr w:type="spellStart"/>
      <w:r w:rsidRPr="005353EC">
        <w:rPr>
          <w:rFonts w:ascii="Times New Roman" w:hAnsi="Times New Roman"/>
          <w:sz w:val="24"/>
          <w:szCs w:val="24"/>
          <w:lang w:val="en-US"/>
        </w:rPr>
        <w:t>Contribuition</w:t>
      </w:r>
      <w:proofErr w:type="spellEnd"/>
      <w:r w:rsidRPr="005353EC">
        <w:rPr>
          <w:rFonts w:ascii="Times New Roman" w:hAnsi="Times New Roman"/>
          <w:sz w:val="24"/>
          <w:szCs w:val="24"/>
          <w:lang w:val="en-US"/>
        </w:rPr>
        <w:t xml:space="preserve"> of </w:t>
      </w:r>
      <w:proofErr w:type="spellStart"/>
      <w:r w:rsidRPr="005353EC">
        <w:rPr>
          <w:rFonts w:ascii="Times New Roman" w:hAnsi="Times New Roman"/>
          <w:sz w:val="24"/>
          <w:szCs w:val="24"/>
          <w:lang w:val="en-US"/>
        </w:rPr>
        <w:t>agrometeorology</w:t>
      </w:r>
      <w:proofErr w:type="spellEnd"/>
      <w:r w:rsidRPr="005353EC">
        <w:rPr>
          <w:rFonts w:ascii="Times New Roman" w:hAnsi="Times New Roman"/>
          <w:sz w:val="24"/>
          <w:szCs w:val="24"/>
          <w:lang w:val="en-US"/>
        </w:rPr>
        <w:t xml:space="preserve"> to the simulation of crop production and its application. </w:t>
      </w:r>
      <w:proofErr w:type="spellStart"/>
      <w:r w:rsidRPr="005353EC">
        <w:rPr>
          <w:rFonts w:ascii="Times New Roman" w:hAnsi="Times New Roman"/>
          <w:sz w:val="24"/>
          <w:szCs w:val="24"/>
        </w:rPr>
        <w:t>Agricultural</w:t>
      </w:r>
      <w:proofErr w:type="spellEnd"/>
      <w:r w:rsidRPr="005353EC">
        <w:rPr>
          <w:rFonts w:ascii="Times New Roman" w:hAnsi="Times New Roman"/>
          <w:sz w:val="24"/>
          <w:szCs w:val="24"/>
        </w:rPr>
        <w:t xml:space="preserve"> </w:t>
      </w:r>
      <w:proofErr w:type="spellStart"/>
      <w:r w:rsidRPr="005353EC">
        <w:rPr>
          <w:rFonts w:ascii="Times New Roman" w:hAnsi="Times New Roman"/>
          <w:sz w:val="24"/>
          <w:szCs w:val="24"/>
        </w:rPr>
        <w:t>and</w:t>
      </w:r>
      <w:proofErr w:type="spellEnd"/>
      <w:r w:rsidRPr="005353EC">
        <w:rPr>
          <w:rFonts w:ascii="Times New Roman" w:hAnsi="Times New Roman"/>
          <w:sz w:val="24"/>
          <w:szCs w:val="24"/>
        </w:rPr>
        <w:t xml:space="preserve"> Forest </w:t>
      </w:r>
      <w:proofErr w:type="spellStart"/>
      <w:r w:rsidRPr="005353EC">
        <w:rPr>
          <w:rFonts w:ascii="Times New Roman" w:hAnsi="Times New Roman"/>
          <w:sz w:val="24"/>
          <w:szCs w:val="24"/>
        </w:rPr>
        <w:t>Meteorology</w:t>
      </w:r>
      <w:proofErr w:type="spellEnd"/>
      <w:r w:rsidRPr="005353EC">
        <w:rPr>
          <w:rFonts w:ascii="Times New Roman" w:hAnsi="Times New Roman"/>
          <w:sz w:val="24"/>
          <w:szCs w:val="24"/>
        </w:rPr>
        <w:t>, v.103, p.135-157, 2000</w:t>
      </w:r>
      <w:r w:rsidR="00E354FE">
        <w:rPr>
          <w:rFonts w:ascii="Times New Roman" w:hAnsi="Times New Roman"/>
          <w:sz w:val="24"/>
          <w:szCs w:val="24"/>
        </w:rPr>
        <w:t>.</w:t>
      </w:r>
    </w:p>
    <w:p w:rsidR="000928AE" w:rsidRDefault="006D0856" w:rsidP="00E354FE">
      <w:pPr>
        <w:spacing w:before="120" w:after="120" w:line="240" w:lineRule="auto"/>
        <w:jc w:val="both"/>
        <w:rPr>
          <w:rFonts w:ascii="Times New Roman" w:hAnsi="Times New Roman"/>
          <w:sz w:val="24"/>
          <w:szCs w:val="24"/>
        </w:rPr>
      </w:pPr>
      <w:r w:rsidRPr="005353EC">
        <w:rPr>
          <w:rFonts w:ascii="Times New Roman" w:hAnsi="Times New Roman"/>
          <w:color w:val="000000"/>
          <w:sz w:val="24"/>
          <w:szCs w:val="24"/>
        </w:rPr>
        <w:t>L</w:t>
      </w:r>
      <w:r w:rsidR="00753FA3" w:rsidRPr="005353EC">
        <w:rPr>
          <w:rFonts w:ascii="Times New Roman" w:hAnsi="Times New Roman"/>
          <w:color w:val="000000"/>
          <w:sz w:val="24"/>
          <w:szCs w:val="24"/>
        </w:rPr>
        <w:t>EMOS FILHO</w:t>
      </w:r>
      <w:r w:rsidRPr="005353EC">
        <w:rPr>
          <w:rFonts w:ascii="Times New Roman" w:hAnsi="Times New Roman"/>
          <w:color w:val="000000"/>
          <w:sz w:val="24"/>
          <w:szCs w:val="24"/>
        </w:rPr>
        <w:t>, L. C. de A. C</w:t>
      </w:r>
      <w:r w:rsidR="00753FA3" w:rsidRPr="005353EC">
        <w:rPr>
          <w:rFonts w:ascii="Times New Roman" w:hAnsi="Times New Roman"/>
          <w:color w:val="000000"/>
          <w:sz w:val="24"/>
          <w:szCs w:val="24"/>
        </w:rPr>
        <w:t>ARVALHO</w:t>
      </w:r>
      <w:r w:rsidRPr="005353EC">
        <w:rPr>
          <w:rFonts w:ascii="Times New Roman" w:hAnsi="Times New Roman"/>
          <w:color w:val="000000"/>
          <w:sz w:val="24"/>
          <w:szCs w:val="24"/>
        </w:rPr>
        <w:t>, L. G.; E</w:t>
      </w:r>
      <w:r w:rsidR="00753FA3" w:rsidRPr="005353EC">
        <w:rPr>
          <w:rFonts w:ascii="Times New Roman" w:hAnsi="Times New Roman"/>
          <w:color w:val="000000"/>
          <w:sz w:val="24"/>
          <w:szCs w:val="24"/>
        </w:rPr>
        <w:t>VANGELISTA</w:t>
      </w:r>
      <w:r w:rsidRPr="005353EC">
        <w:rPr>
          <w:rFonts w:ascii="Times New Roman" w:hAnsi="Times New Roman"/>
          <w:color w:val="000000"/>
          <w:sz w:val="24"/>
          <w:szCs w:val="24"/>
        </w:rPr>
        <w:t>, A. W. P.; C</w:t>
      </w:r>
      <w:r w:rsidR="00753FA3" w:rsidRPr="005353EC">
        <w:rPr>
          <w:rFonts w:ascii="Times New Roman" w:hAnsi="Times New Roman"/>
          <w:color w:val="000000"/>
          <w:sz w:val="24"/>
          <w:szCs w:val="24"/>
        </w:rPr>
        <w:t>ARVALHO</w:t>
      </w:r>
      <w:r w:rsidRPr="005353EC">
        <w:rPr>
          <w:rFonts w:ascii="Times New Roman" w:hAnsi="Times New Roman"/>
          <w:color w:val="000000"/>
          <w:sz w:val="24"/>
          <w:szCs w:val="24"/>
        </w:rPr>
        <w:t>, L. M. T.; D</w:t>
      </w:r>
      <w:r w:rsidR="00753FA3" w:rsidRPr="005353EC">
        <w:rPr>
          <w:rFonts w:ascii="Times New Roman" w:hAnsi="Times New Roman"/>
          <w:color w:val="000000"/>
          <w:sz w:val="24"/>
          <w:szCs w:val="24"/>
        </w:rPr>
        <w:t>ANTAS</w:t>
      </w:r>
      <w:r w:rsidRPr="005353EC">
        <w:rPr>
          <w:rFonts w:ascii="Times New Roman" w:hAnsi="Times New Roman"/>
          <w:color w:val="000000"/>
          <w:sz w:val="24"/>
          <w:szCs w:val="24"/>
        </w:rPr>
        <w:t>, A. A. A.</w:t>
      </w:r>
      <w:r w:rsidRPr="005353EC">
        <w:rPr>
          <w:rFonts w:ascii="Times New Roman" w:hAnsi="Times New Roman"/>
          <w:sz w:val="24"/>
          <w:szCs w:val="24"/>
        </w:rPr>
        <w:t xml:space="preserve"> Análise espaço-temporal da evapotranspiração de referência para minas gerais.</w:t>
      </w:r>
      <w:r w:rsidRPr="005353EC">
        <w:rPr>
          <w:rFonts w:ascii="Times New Roman" w:hAnsi="Times New Roman"/>
          <w:b/>
          <w:sz w:val="24"/>
          <w:szCs w:val="24"/>
        </w:rPr>
        <w:t xml:space="preserve"> Ciência e Agrotecnologia</w:t>
      </w:r>
      <w:r w:rsidRPr="005353EC">
        <w:rPr>
          <w:rFonts w:ascii="Times New Roman" w:hAnsi="Times New Roman"/>
          <w:sz w:val="24"/>
          <w:szCs w:val="24"/>
        </w:rPr>
        <w:t>, v. 31, n. 5, p. 1462-1469, 2007.</w:t>
      </w:r>
    </w:p>
    <w:p w:rsidR="000928AE" w:rsidRDefault="006D0856" w:rsidP="00E354FE">
      <w:pPr>
        <w:autoSpaceDE w:val="0"/>
        <w:autoSpaceDN w:val="0"/>
        <w:adjustRightInd w:val="0"/>
        <w:spacing w:before="120" w:after="120" w:line="240" w:lineRule="auto"/>
        <w:jc w:val="both"/>
        <w:rPr>
          <w:rFonts w:ascii="Times New Roman" w:hAnsi="Times New Roman"/>
          <w:sz w:val="24"/>
          <w:szCs w:val="24"/>
        </w:rPr>
      </w:pPr>
      <w:r w:rsidRPr="005353EC">
        <w:rPr>
          <w:rFonts w:ascii="Times New Roman" w:hAnsi="Times New Roman"/>
          <w:sz w:val="24"/>
          <w:szCs w:val="24"/>
        </w:rPr>
        <w:t>M</w:t>
      </w:r>
      <w:r w:rsidR="00753FA3" w:rsidRPr="005353EC">
        <w:rPr>
          <w:rFonts w:ascii="Times New Roman" w:hAnsi="Times New Roman"/>
          <w:sz w:val="24"/>
          <w:szCs w:val="24"/>
        </w:rPr>
        <w:t>OURA</w:t>
      </w:r>
      <w:r w:rsidRPr="005353EC">
        <w:rPr>
          <w:rFonts w:ascii="Times New Roman" w:hAnsi="Times New Roman"/>
          <w:sz w:val="24"/>
          <w:szCs w:val="24"/>
        </w:rPr>
        <w:t>, G. B. A.;</w:t>
      </w:r>
      <w:proofErr w:type="gramStart"/>
      <w:r w:rsidRPr="005353EC">
        <w:rPr>
          <w:rFonts w:ascii="Times New Roman" w:hAnsi="Times New Roman"/>
          <w:sz w:val="24"/>
          <w:szCs w:val="24"/>
        </w:rPr>
        <w:t xml:space="preserve">  </w:t>
      </w:r>
      <w:proofErr w:type="gramEnd"/>
      <w:r w:rsidRPr="005353EC">
        <w:rPr>
          <w:rFonts w:ascii="Times New Roman" w:hAnsi="Times New Roman"/>
          <w:sz w:val="24"/>
          <w:szCs w:val="24"/>
        </w:rPr>
        <w:t>A</w:t>
      </w:r>
      <w:r w:rsidR="00753FA3" w:rsidRPr="005353EC">
        <w:rPr>
          <w:rFonts w:ascii="Times New Roman" w:hAnsi="Times New Roman"/>
          <w:sz w:val="24"/>
          <w:szCs w:val="24"/>
        </w:rPr>
        <w:t>RAGÃO</w:t>
      </w:r>
      <w:r w:rsidRPr="005353EC">
        <w:rPr>
          <w:rFonts w:ascii="Times New Roman" w:hAnsi="Times New Roman"/>
          <w:sz w:val="24"/>
          <w:szCs w:val="24"/>
        </w:rPr>
        <w:t>, J. O. R.;</w:t>
      </w:r>
      <w:proofErr w:type="gramStart"/>
      <w:r w:rsidRPr="005353EC">
        <w:rPr>
          <w:rFonts w:ascii="Times New Roman" w:hAnsi="Times New Roman"/>
          <w:sz w:val="24"/>
          <w:szCs w:val="24"/>
        </w:rPr>
        <w:t xml:space="preserve">  </w:t>
      </w:r>
      <w:proofErr w:type="gramEnd"/>
      <w:r w:rsidRPr="005353EC">
        <w:rPr>
          <w:rFonts w:ascii="Times New Roman" w:hAnsi="Times New Roman"/>
          <w:sz w:val="24"/>
          <w:szCs w:val="24"/>
        </w:rPr>
        <w:t>M</w:t>
      </w:r>
      <w:r w:rsidR="00753FA3" w:rsidRPr="005353EC">
        <w:rPr>
          <w:rFonts w:ascii="Times New Roman" w:hAnsi="Times New Roman"/>
          <w:sz w:val="24"/>
          <w:szCs w:val="24"/>
        </w:rPr>
        <w:t>ELO,</w:t>
      </w:r>
      <w:r w:rsidRPr="005353EC">
        <w:rPr>
          <w:rFonts w:ascii="Times New Roman" w:hAnsi="Times New Roman"/>
          <w:sz w:val="24"/>
          <w:szCs w:val="24"/>
        </w:rPr>
        <w:t xml:space="preserve"> J. S. P.; S</w:t>
      </w:r>
      <w:r w:rsidR="00753FA3" w:rsidRPr="005353EC">
        <w:rPr>
          <w:rFonts w:ascii="Times New Roman" w:hAnsi="Times New Roman"/>
          <w:sz w:val="24"/>
          <w:szCs w:val="24"/>
        </w:rPr>
        <w:t>ILVA</w:t>
      </w:r>
      <w:r w:rsidRPr="005353EC">
        <w:rPr>
          <w:rFonts w:ascii="Times New Roman" w:hAnsi="Times New Roman"/>
          <w:sz w:val="24"/>
          <w:szCs w:val="24"/>
        </w:rPr>
        <w:t>, A. P. N.; G</w:t>
      </w:r>
      <w:r w:rsidR="00753FA3" w:rsidRPr="005353EC">
        <w:rPr>
          <w:rFonts w:ascii="Times New Roman" w:hAnsi="Times New Roman"/>
          <w:sz w:val="24"/>
          <w:szCs w:val="24"/>
        </w:rPr>
        <w:t>IONGO</w:t>
      </w:r>
      <w:r w:rsidRPr="005353EC">
        <w:rPr>
          <w:rFonts w:ascii="Times New Roman" w:hAnsi="Times New Roman"/>
          <w:sz w:val="24"/>
          <w:szCs w:val="24"/>
        </w:rPr>
        <w:t>, P. R.; L</w:t>
      </w:r>
      <w:r w:rsidR="00753FA3" w:rsidRPr="005353EC">
        <w:rPr>
          <w:rFonts w:ascii="Times New Roman" w:hAnsi="Times New Roman"/>
          <w:sz w:val="24"/>
          <w:szCs w:val="24"/>
        </w:rPr>
        <w:t>ACERDA</w:t>
      </w:r>
      <w:r w:rsidRPr="005353EC">
        <w:rPr>
          <w:rFonts w:ascii="Times New Roman" w:hAnsi="Times New Roman"/>
          <w:sz w:val="24"/>
          <w:szCs w:val="24"/>
        </w:rPr>
        <w:t xml:space="preserve">, F. F. Relação entre a precipitação do leste do Nordeste do Brasil e a temperatura dos oceanos. </w:t>
      </w:r>
      <w:r w:rsidRPr="005353EC">
        <w:rPr>
          <w:rFonts w:ascii="Times New Roman" w:hAnsi="Times New Roman"/>
          <w:b/>
          <w:sz w:val="24"/>
          <w:szCs w:val="24"/>
        </w:rPr>
        <w:t>Revista brasileira de engenharia agrícola e ambiental</w:t>
      </w:r>
      <w:r w:rsidRPr="005353EC">
        <w:rPr>
          <w:rFonts w:ascii="Times New Roman" w:hAnsi="Times New Roman"/>
          <w:sz w:val="24"/>
          <w:szCs w:val="24"/>
        </w:rPr>
        <w:t>, v.13, n.4, p.462-469, 2009.</w:t>
      </w:r>
    </w:p>
    <w:p w:rsidR="006D0856" w:rsidRPr="005353EC" w:rsidRDefault="006D0856" w:rsidP="000928AE">
      <w:pPr>
        <w:spacing w:before="120" w:after="120" w:line="240" w:lineRule="auto"/>
        <w:jc w:val="both"/>
        <w:rPr>
          <w:rFonts w:ascii="Times New Roman" w:hAnsi="Times New Roman"/>
          <w:sz w:val="24"/>
          <w:szCs w:val="24"/>
        </w:rPr>
      </w:pPr>
      <w:r w:rsidRPr="005353EC">
        <w:rPr>
          <w:rFonts w:ascii="Times New Roman" w:hAnsi="Times New Roman"/>
          <w:sz w:val="24"/>
          <w:szCs w:val="24"/>
        </w:rPr>
        <w:t>M</w:t>
      </w:r>
      <w:r w:rsidR="00753FA3" w:rsidRPr="005353EC">
        <w:rPr>
          <w:rFonts w:ascii="Times New Roman" w:hAnsi="Times New Roman"/>
          <w:sz w:val="24"/>
          <w:szCs w:val="24"/>
        </w:rPr>
        <w:t>ONTEIRO</w:t>
      </w:r>
      <w:r w:rsidRPr="005353EC">
        <w:rPr>
          <w:rFonts w:ascii="Times New Roman" w:hAnsi="Times New Roman"/>
          <w:sz w:val="24"/>
          <w:szCs w:val="24"/>
        </w:rPr>
        <w:t xml:space="preserve">, J. E. B. A. </w:t>
      </w:r>
      <w:r w:rsidRPr="005353EC">
        <w:rPr>
          <w:rFonts w:ascii="Times New Roman" w:hAnsi="Times New Roman"/>
          <w:b/>
          <w:sz w:val="24"/>
          <w:szCs w:val="24"/>
        </w:rPr>
        <w:t>Agrometeorologia dos cultivos</w:t>
      </w:r>
      <w:r w:rsidRPr="005353EC">
        <w:rPr>
          <w:rFonts w:ascii="Times New Roman" w:hAnsi="Times New Roman"/>
          <w:sz w:val="24"/>
          <w:szCs w:val="24"/>
        </w:rPr>
        <w:t>: o fator meteorológico na produção agrícola. Brasília: Instituto Nacional de Meteorologia, 2009. 530p.</w:t>
      </w:r>
    </w:p>
    <w:p w:rsidR="000928AE" w:rsidRDefault="000928AE" w:rsidP="000928AE">
      <w:pPr>
        <w:spacing w:before="120" w:after="120" w:line="240" w:lineRule="auto"/>
        <w:jc w:val="both"/>
        <w:rPr>
          <w:rFonts w:ascii="Times New Roman" w:hAnsi="Times New Roman"/>
          <w:color w:val="000000"/>
          <w:sz w:val="24"/>
          <w:szCs w:val="24"/>
        </w:rPr>
      </w:pPr>
    </w:p>
    <w:p w:rsidR="000928AE" w:rsidRPr="00E354FE" w:rsidRDefault="006D0856" w:rsidP="000928AE">
      <w:pPr>
        <w:spacing w:before="120" w:after="120" w:line="240" w:lineRule="auto"/>
        <w:jc w:val="both"/>
        <w:rPr>
          <w:rFonts w:ascii="Times New Roman" w:hAnsi="Times New Roman"/>
          <w:color w:val="000000"/>
          <w:sz w:val="24"/>
          <w:szCs w:val="24"/>
        </w:rPr>
      </w:pPr>
      <w:r w:rsidRPr="005353EC">
        <w:rPr>
          <w:rFonts w:ascii="Times New Roman" w:hAnsi="Times New Roman"/>
          <w:color w:val="000000"/>
          <w:sz w:val="24"/>
          <w:szCs w:val="24"/>
        </w:rPr>
        <w:lastRenderedPageBreak/>
        <w:t>M</w:t>
      </w:r>
      <w:r w:rsidR="00753FA3" w:rsidRPr="005353EC">
        <w:rPr>
          <w:rFonts w:ascii="Times New Roman" w:hAnsi="Times New Roman"/>
          <w:color w:val="000000"/>
          <w:sz w:val="24"/>
          <w:szCs w:val="24"/>
        </w:rPr>
        <w:t>EDEIROS</w:t>
      </w:r>
      <w:r w:rsidRPr="005353EC">
        <w:rPr>
          <w:rFonts w:ascii="Times New Roman" w:hAnsi="Times New Roman"/>
          <w:color w:val="000000"/>
          <w:sz w:val="24"/>
          <w:szCs w:val="24"/>
        </w:rPr>
        <w:t>, S. R. R.; M</w:t>
      </w:r>
      <w:r w:rsidR="00753FA3" w:rsidRPr="005353EC">
        <w:rPr>
          <w:rFonts w:ascii="Times New Roman" w:hAnsi="Times New Roman"/>
          <w:color w:val="000000"/>
          <w:sz w:val="24"/>
          <w:szCs w:val="24"/>
        </w:rPr>
        <w:t>OURA</w:t>
      </w:r>
      <w:r w:rsidRPr="005353EC">
        <w:rPr>
          <w:rFonts w:ascii="Times New Roman" w:hAnsi="Times New Roman"/>
          <w:color w:val="000000"/>
          <w:sz w:val="24"/>
          <w:szCs w:val="24"/>
        </w:rPr>
        <w:t>, G. B.; G</w:t>
      </w:r>
      <w:r w:rsidR="00753FA3" w:rsidRPr="005353EC">
        <w:rPr>
          <w:rFonts w:ascii="Times New Roman" w:hAnsi="Times New Roman"/>
          <w:color w:val="000000"/>
          <w:sz w:val="24"/>
          <w:szCs w:val="24"/>
        </w:rPr>
        <w:t>IONGO</w:t>
      </w:r>
      <w:r w:rsidRPr="005353EC">
        <w:rPr>
          <w:rFonts w:ascii="Times New Roman" w:hAnsi="Times New Roman"/>
          <w:color w:val="000000"/>
          <w:sz w:val="24"/>
          <w:szCs w:val="24"/>
        </w:rPr>
        <w:t>, P. R.; S</w:t>
      </w:r>
      <w:r w:rsidR="00753FA3" w:rsidRPr="005353EC">
        <w:rPr>
          <w:rFonts w:ascii="Times New Roman" w:hAnsi="Times New Roman"/>
          <w:color w:val="000000"/>
          <w:sz w:val="24"/>
          <w:szCs w:val="24"/>
        </w:rPr>
        <w:t>ILVA</w:t>
      </w:r>
      <w:r w:rsidRPr="005353EC">
        <w:rPr>
          <w:rFonts w:ascii="Times New Roman" w:hAnsi="Times New Roman"/>
          <w:color w:val="000000"/>
          <w:sz w:val="24"/>
          <w:szCs w:val="24"/>
        </w:rPr>
        <w:t xml:space="preserve">, A. P. N. Potencial agroclimático para a </w:t>
      </w:r>
      <w:proofErr w:type="spellStart"/>
      <w:r w:rsidRPr="005353EC">
        <w:rPr>
          <w:rFonts w:ascii="Times New Roman" w:hAnsi="Times New Roman"/>
          <w:i/>
          <w:iCs/>
          <w:color w:val="000000"/>
          <w:sz w:val="24"/>
          <w:szCs w:val="24"/>
        </w:rPr>
        <w:t>Alpinia</w:t>
      </w:r>
      <w:proofErr w:type="spellEnd"/>
      <w:r w:rsidRPr="005353EC">
        <w:rPr>
          <w:rFonts w:ascii="Times New Roman" w:hAnsi="Times New Roman"/>
          <w:i/>
          <w:iCs/>
          <w:color w:val="000000"/>
          <w:sz w:val="24"/>
          <w:szCs w:val="24"/>
        </w:rPr>
        <w:t xml:space="preserve"> </w:t>
      </w:r>
      <w:proofErr w:type="spellStart"/>
      <w:r w:rsidRPr="005353EC">
        <w:rPr>
          <w:rFonts w:ascii="Times New Roman" w:hAnsi="Times New Roman"/>
          <w:i/>
          <w:iCs/>
          <w:color w:val="000000"/>
          <w:sz w:val="24"/>
          <w:szCs w:val="24"/>
        </w:rPr>
        <w:t>purpurata</w:t>
      </w:r>
      <w:proofErr w:type="spellEnd"/>
      <w:r w:rsidRPr="005353EC">
        <w:rPr>
          <w:rFonts w:ascii="Times New Roman" w:hAnsi="Times New Roman"/>
          <w:color w:val="000000"/>
          <w:sz w:val="24"/>
          <w:szCs w:val="24"/>
        </w:rPr>
        <w:t xml:space="preserve"> no Estado de Pernambuco. </w:t>
      </w:r>
      <w:r w:rsidRPr="005353EC">
        <w:rPr>
          <w:rFonts w:ascii="Times New Roman" w:hAnsi="Times New Roman"/>
          <w:b/>
          <w:color w:val="000000"/>
          <w:sz w:val="24"/>
          <w:szCs w:val="24"/>
        </w:rPr>
        <w:t>Revista Brasileira de Engenharia Agrícola e Ambiental</w:t>
      </w:r>
      <w:r w:rsidRPr="005353EC">
        <w:rPr>
          <w:rFonts w:ascii="Times New Roman" w:hAnsi="Times New Roman"/>
          <w:color w:val="000000"/>
          <w:sz w:val="24"/>
          <w:szCs w:val="24"/>
        </w:rPr>
        <w:t>, v.13, n.2, p.165-169, 2009.</w:t>
      </w:r>
    </w:p>
    <w:p w:rsidR="000928AE" w:rsidRDefault="006D0856" w:rsidP="000928AE">
      <w:pPr>
        <w:spacing w:before="120" w:after="120" w:line="240" w:lineRule="auto"/>
        <w:jc w:val="both"/>
        <w:rPr>
          <w:rFonts w:ascii="Times New Roman" w:hAnsi="Times New Roman"/>
          <w:sz w:val="24"/>
          <w:szCs w:val="24"/>
        </w:rPr>
      </w:pPr>
      <w:r w:rsidRPr="005353EC">
        <w:rPr>
          <w:rFonts w:ascii="Times New Roman" w:hAnsi="Times New Roman"/>
          <w:sz w:val="24"/>
          <w:szCs w:val="24"/>
        </w:rPr>
        <w:t>M</w:t>
      </w:r>
      <w:r w:rsidR="00753FA3" w:rsidRPr="005353EC">
        <w:rPr>
          <w:rFonts w:ascii="Times New Roman" w:hAnsi="Times New Roman"/>
          <w:sz w:val="24"/>
          <w:szCs w:val="24"/>
        </w:rPr>
        <w:t>OURA</w:t>
      </w:r>
      <w:r w:rsidRPr="005353EC">
        <w:rPr>
          <w:rFonts w:ascii="Times New Roman" w:hAnsi="Times New Roman"/>
          <w:sz w:val="24"/>
          <w:szCs w:val="24"/>
        </w:rPr>
        <w:t xml:space="preserve">, G. B. A.; </w:t>
      </w:r>
      <w:proofErr w:type="gramStart"/>
      <w:r w:rsidRPr="005353EC">
        <w:rPr>
          <w:rFonts w:ascii="Times New Roman" w:hAnsi="Times New Roman"/>
          <w:sz w:val="24"/>
          <w:szCs w:val="24"/>
        </w:rPr>
        <w:t>M</w:t>
      </w:r>
      <w:r w:rsidR="00753FA3" w:rsidRPr="005353EC">
        <w:rPr>
          <w:rFonts w:ascii="Times New Roman" w:hAnsi="Times New Roman"/>
          <w:sz w:val="24"/>
          <w:szCs w:val="24"/>
        </w:rPr>
        <w:t>ELO</w:t>
      </w:r>
      <w:r w:rsidRPr="005353EC">
        <w:rPr>
          <w:rFonts w:ascii="Times New Roman" w:hAnsi="Times New Roman"/>
          <w:sz w:val="24"/>
          <w:szCs w:val="24"/>
        </w:rPr>
        <w:t>,</w:t>
      </w:r>
      <w:proofErr w:type="gramEnd"/>
      <w:r w:rsidRPr="005353EC">
        <w:rPr>
          <w:rFonts w:ascii="Times New Roman" w:hAnsi="Times New Roman"/>
          <w:sz w:val="24"/>
          <w:szCs w:val="24"/>
        </w:rPr>
        <w:t xml:space="preserve"> J. S. P.; G</w:t>
      </w:r>
      <w:r w:rsidR="00753FA3" w:rsidRPr="005353EC">
        <w:rPr>
          <w:rFonts w:ascii="Times New Roman" w:hAnsi="Times New Roman"/>
          <w:sz w:val="24"/>
          <w:szCs w:val="24"/>
        </w:rPr>
        <w:t>IONGO</w:t>
      </w:r>
      <w:r w:rsidRPr="005353EC">
        <w:rPr>
          <w:rFonts w:ascii="Times New Roman" w:hAnsi="Times New Roman"/>
          <w:sz w:val="24"/>
          <w:szCs w:val="24"/>
        </w:rPr>
        <w:t>, P. R.; L</w:t>
      </w:r>
      <w:r w:rsidR="00753FA3" w:rsidRPr="005353EC">
        <w:rPr>
          <w:rFonts w:ascii="Times New Roman" w:hAnsi="Times New Roman"/>
          <w:sz w:val="24"/>
          <w:szCs w:val="24"/>
        </w:rPr>
        <w:t>IRA JÚNIOR</w:t>
      </w:r>
      <w:r w:rsidRPr="005353EC">
        <w:rPr>
          <w:rFonts w:ascii="Times New Roman" w:hAnsi="Times New Roman"/>
          <w:sz w:val="24"/>
          <w:szCs w:val="24"/>
        </w:rPr>
        <w:t>, M. A.; S</w:t>
      </w:r>
      <w:r w:rsidR="00753FA3" w:rsidRPr="005353EC">
        <w:rPr>
          <w:rFonts w:ascii="Times New Roman" w:hAnsi="Times New Roman"/>
          <w:sz w:val="24"/>
          <w:szCs w:val="24"/>
        </w:rPr>
        <w:t>ILVA</w:t>
      </w:r>
      <w:r w:rsidRPr="005353EC">
        <w:rPr>
          <w:rFonts w:ascii="Times New Roman" w:hAnsi="Times New Roman"/>
          <w:sz w:val="24"/>
          <w:szCs w:val="24"/>
        </w:rPr>
        <w:t xml:space="preserve">, A. P. N. Relação entre condições hídricas e o crescimento vegetal da cana-de-açúcar no município Itambé, Pernambuco. </w:t>
      </w:r>
      <w:r w:rsidRPr="005353EC">
        <w:rPr>
          <w:rFonts w:ascii="Times New Roman" w:hAnsi="Times New Roman"/>
          <w:b/>
          <w:sz w:val="24"/>
          <w:szCs w:val="24"/>
        </w:rPr>
        <w:t>Revista Caatinga</w:t>
      </w:r>
      <w:r w:rsidRPr="005353EC">
        <w:rPr>
          <w:rFonts w:ascii="Times New Roman" w:hAnsi="Times New Roman"/>
          <w:sz w:val="24"/>
          <w:szCs w:val="24"/>
        </w:rPr>
        <w:t>, v.21, n.5, p.171-177, 2008.</w:t>
      </w:r>
    </w:p>
    <w:p w:rsidR="000928AE" w:rsidRDefault="006D0856" w:rsidP="00E354FE">
      <w:pPr>
        <w:spacing w:before="120" w:after="120" w:line="240" w:lineRule="auto"/>
        <w:jc w:val="both"/>
        <w:rPr>
          <w:rFonts w:ascii="Times New Roman" w:hAnsi="Times New Roman"/>
          <w:sz w:val="24"/>
          <w:szCs w:val="24"/>
        </w:rPr>
      </w:pPr>
      <w:r w:rsidRPr="005353EC">
        <w:rPr>
          <w:rFonts w:ascii="Times New Roman" w:hAnsi="Times New Roman"/>
          <w:sz w:val="24"/>
          <w:szCs w:val="24"/>
        </w:rPr>
        <w:t>P</w:t>
      </w:r>
      <w:r w:rsidR="00753FA3" w:rsidRPr="005353EC">
        <w:rPr>
          <w:rFonts w:ascii="Times New Roman" w:hAnsi="Times New Roman"/>
          <w:sz w:val="24"/>
          <w:szCs w:val="24"/>
        </w:rPr>
        <w:t>EREIRA</w:t>
      </w:r>
      <w:r w:rsidRPr="005353EC">
        <w:rPr>
          <w:rFonts w:ascii="Times New Roman" w:hAnsi="Times New Roman"/>
          <w:sz w:val="24"/>
          <w:szCs w:val="24"/>
        </w:rPr>
        <w:t>, A. R.; A</w:t>
      </w:r>
      <w:r w:rsidR="00753FA3" w:rsidRPr="005353EC">
        <w:rPr>
          <w:rFonts w:ascii="Times New Roman" w:hAnsi="Times New Roman"/>
          <w:sz w:val="24"/>
          <w:szCs w:val="24"/>
        </w:rPr>
        <w:t>NGELOCCI</w:t>
      </w:r>
      <w:r w:rsidRPr="005353EC">
        <w:rPr>
          <w:rFonts w:ascii="Times New Roman" w:hAnsi="Times New Roman"/>
          <w:sz w:val="24"/>
          <w:szCs w:val="24"/>
        </w:rPr>
        <w:t>, L. R.; S</w:t>
      </w:r>
      <w:r w:rsidR="00753FA3" w:rsidRPr="005353EC">
        <w:rPr>
          <w:rFonts w:ascii="Times New Roman" w:hAnsi="Times New Roman"/>
          <w:sz w:val="24"/>
          <w:szCs w:val="24"/>
        </w:rPr>
        <w:t>ENTELHAS</w:t>
      </w:r>
      <w:r w:rsidRPr="005353EC">
        <w:rPr>
          <w:rFonts w:ascii="Times New Roman" w:hAnsi="Times New Roman"/>
          <w:sz w:val="24"/>
          <w:szCs w:val="24"/>
        </w:rPr>
        <w:t xml:space="preserve">, P. C. </w:t>
      </w:r>
      <w:r w:rsidRPr="005353EC">
        <w:rPr>
          <w:rFonts w:ascii="Times New Roman" w:hAnsi="Times New Roman"/>
          <w:b/>
          <w:sz w:val="24"/>
          <w:szCs w:val="24"/>
        </w:rPr>
        <w:t>Agrometeorologia</w:t>
      </w:r>
      <w:r w:rsidRPr="005353EC">
        <w:rPr>
          <w:rFonts w:ascii="Times New Roman" w:hAnsi="Times New Roman"/>
          <w:sz w:val="24"/>
          <w:szCs w:val="24"/>
        </w:rPr>
        <w:t>: fundamentos e aplicações práticas. Guaíba: Agropecuária, 2002. 478p.</w:t>
      </w:r>
    </w:p>
    <w:p w:rsidR="000928AE" w:rsidRPr="00CB12BE" w:rsidRDefault="006D0856" w:rsidP="000928AE">
      <w:pPr>
        <w:autoSpaceDE w:val="0"/>
        <w:autoSpaceDN w:val="0"/>
        <w:adjustRightInd w:val="0"/>
        <w:spacing w:before="120" w:after="120" w:line="240" w:lineRule="auto"/>
        <w:jc w:val="both"/>
        <w:rPr>
          <w:rFonts w:ascii="Times New Roman" w:hAnsi="Times New Roman"/>
          <w:sz w:val="24"/>
          <w:szCs w:val="24"/>
        </w:rPr>
      </w:pPr>
      <w:r w:rsidRPr="005353EC">
        <w:rPr>
          <w:rFonts w:ascii="Times New Roman" w:hAnsi="Times New Roman"/>
          <w:sz w:val="24"/>
          <w:szCs w:val="24"/>
        </w:rPr>
        <w:t>S</w:t>
      </w:r>
      <w:r w:rsidR="00753FA3" w:rsidRPr="005353EC">
        <w:rPr>
          <w:rFonts w:ascii="Times New Roman" w:hAnsi="Times New Roman"/>
          <w:sz w:val="24"/>
          <w:szCs w:val="24"/>
        </w:rPr>
        <w:t>ANTOS</w:t>
      </w:r>
      <w:r w:rsidRPr="005353EC">
        <w:rPr>
          <w:rFonts w:ascii="Times New Roman" w:hAnsi="Times New Roman"/>
          <w:sz w:val="24"/>
          <w:szCs w:val="24"/>
        </w:rPr>
        <w:t>, F. X. M</w:t>
      </w:r>
      <w:r w:rsidR="00753FA3" w:rsidRPr="005353EC">
        <w:rPr>
          <w:rFonts w:ascii="Times New Roman" w:hAnsi="Times New Roman"/>
          <w:sz w:val="24"/>
          <w:szCs w:val="24"/>
        </w:rPr>
        <w:t>ONTENEGRO</w:t>
      </w:r>
      <w:r w:rsidRPr="005353EC">
        <w:rPr>
          <w:rFonts w:ascii="Times New Roman" w:hAnsi="Times New Roman"/>
          <w:sz w:val="24"/>
          <w:szCs w:val="24"/>
        </w:rPr>
        <w:t>, A. A. A.; S</w:t>
      </w:r>
      <w:r w:rsidR="00753FA3" w:rsidRPr="005353EC">
        <w:rPr>
          <w:rFonts w:ascii="Times New Roman" w:hAnsi="Times New Roman"/>
          <w:sz w:val="24"/>
          <w:szCs w:val="24"/>
        </w:rPr>
        <w:t>ILVA</w:t>
      </w:r>
      <w:r w:rsidRPr="005353EC">
        <w:rPr>
          <w:rFonts w:ascii="Times New Roman" w:hAnsi="Times New Roman"/>
          <w:sz w:val="24"/>
          <w:szCs w:val="24"/>
        </w:rPr>
        <w:t>, J. R.; S</w:t>
      </w:r>
      <w:r w:rsidR="00753FA3" w:rsidRPr="005353EC">
        <w:rPr>
          <w:rFonts w:ascii="Times New Roman" w:hAnsi="Times New Roman"/>
          <w:sz w:val="24"/>
          <w:szCs w:val="24"/>
        </w:rPr>
        <w:t>OUZA</w:t>
      </w:r>
      <w:r w:rsidRPr="005353EC">
        <w:rPr>
          <w:rFonts w:ascii="Times New Roman" w:hAnsi="Times New Roman"/>
          <w:sz w:val="24"/>
          <w:szCs w:val="24"/>
        </w:rPr>
        <w:t xml:space="preserve">, E. R. Determinação do consumo hídrico da cenoura utilizando lisímetros de drenagem, no agreste pernambucano. </w:t>
      </w:r>
      <w:r w:rsidRPr="005353EC">
        <w:rPr>
          <w:rFonts w:ascii="Times New Roman" w:hAnsi="Times New Roman"/>
          <w:b/>
          <w:bCs/>
          <w:sz w:val="24"/>
          <w:szCs w:val="24"/>
        </w:rPr>
        <w:t>Revista brasileira de ciências agrárias</w:t>
      </w:r>
      <w:r w:rsidRPr="005353EC">
        <w:rPr>
          <w:rFonts w:ascii="Times New Roman" w:hAnsi="Times New Roman"/>
          <w:b/>
          <w:sz w:val="24"/>
          <w:szCs w:val="24"/>
        </w:rPr>
        <w:t>,</w:t>
      </w:r>
      <w:r w:rsidRPr="005353EC">
        <w:rPr>
          <w:rFonts w:ascii="Times New Roman" w:hAnsi="Times New Roman"/>
          <w:sz w:val="24"/>
          <w:szCs w:val="24"/>
        </w:rPr>
        <w:t xml:space="preserve"> v. 4, n. 3, p. 304-310, 2009.</w:t>
      </w:r>
    </w:p>
    <w:p w:rsidR="000928AE" w:rsidRDefault="006D0856" w:rsidP="00E354FE">
      <w:pPr>
        <w:autoSpaceDE w:val="0"/>
        <w:autoSpaceDN w:val="0"/>
        <w:adjustRightInd w:val="0"/>
        <w:spacing w:before="120" w:after="120" w:line="240" w:lineRule="auto"/>
        <w:jc w:val="both"/>
        <w:rPr>
          <w:rFonts w:ascii="Times New Roman" w:hAnsi="Times New Roman"/>
          <w:sz w:val="24"/>
          <w:szCs w:val="24"/>
        </w:rPr>
      </w:pPr>
      <w:r w:rsidRPr="00CB12BE">
        <w:rPr>
          <w:rFonts w:ascii="Times New Roman" w:hAnsi="Times New Roman"/>
          <w:sz w:val="24"/>
          <w:szCs w:val="24"/>
        </w:rPr>
        <w:t>S</w:t>
      </w:r>
      <w:r w:rsidR="00753FA3" w:rsidRPr="00CB12BE">
        <w:rPr>
          <w:rFonts w:ascii="Times New Roman" w:hAnsi="Times New Roman"/>
          <w:sz w:val="24"/>
          <w:szCs w:val="24"/>
        </w:rPr>
        <w:t>ENTELHAS</w:t>
      </w:r>
      <w:r w:rsidRPr="00CB12BE">
        <w:rPr>
          <w:rFonts w:ascii="Times New Roman" w:hAnsi="Times New Roman"/>
          <w:sz w:val="24"/>
          <w:szCs w:val="24"/>
        </w:rPr>
        <w:t>, P. C.; S</w:t>
      </w:r>
      <w:r w:rsidR="00753FA3" w:rsidRPr="00CB12BE">
        <w:rPr>
          <w:rFonts w:ascii="Times New Roman" w:hAnsi="Times New Roman"/>
          <w:sz w:val="24"/>
          <w:szCs w:val="24"/>
        </w:rPr>
        <w:t>ANTOS</w:t>
      </w:r>
      <w:r w:rsidRPr="00CB12BE">
        <w:rPr>
          <w:rFonts w:ascii="Times New Roman" w:hAnsi="Times New Roman"/>
          <w:sz w:val="24"/>
          <w:szCs w:val="24"/>
        </w:rPr>
        <w:t>, D. L.; M</w:t>
      </w:r>
      <w:r w:rsidR="00753FA3" w:rsidRPr="00CB12BE">
        <w:rPr>
          <w:rFonts w:ascii="Times New Roman" w:hAnsi="Times New Roman"/>
          <w:sz w:val="24"/>
          <w:szCs w:val="24"/>
        </w:rPr>
        <w:t>ACHADO</w:t>
      </w:r>
      <w:r w:rsidRPr="00CB12BE">
        <w:rPr>
          <w:rFonts w:ascii="Times New Roman" w:hAnsi="Times New Roman"/>
          <w:sz w:val="24"/>
          <w:szCs w:val="24"/>
        </w:rPr>
        <w:t xml:space="preserve">, R. E. </w:t>
      </w:r>
      <w:proofErr w:type="spellStart"/>
      <w:r w:rsidRPr="00CB12BE">
        <w:rPr>
          <w:rFonts w:ascii="Times New Roman" w:hAnsi="Times New Roman"/>
          <w:sz w:val="24"/>
          <w:szCs w:val="24"/>
        </w:rPr>
        <w:t>Water</w:t>
      </w:r>
      <w:proofErr w:type="spellEnd"/>
      <w:r w:rsidRPr="00CB12BE">
        <w:rPr>
          <w:rFonts w:ascii="Times New Roman" w:hAnsi="Times New Roman"/>
          <w:sz w:val="24"/>
          <w:szCs w:val="24"/>
        </w:rPr>
        <w:t xml:space="preserve"> </w:t>
      </w:r>
      <w:proofErr w:type="spellStart"/>
      <w:r w:rsidRPr="00CB12BE">
        <w:rPr>
          <w:rFonts w:ascii="Times New Roman" w:hAnsi="Times New Roman"/>
          <w:sz w:val="24"/>
          <w:szCs w:val="24"/>
        </w:rPr>
        <w:t>deficit</w:t>
      </w:r>
      <w:proofErr w:type="spellEnd"/>
      <w:r w:rsidRPr="00CB12BE">
        <w:rPr>
          <w:rFonts w:ascii="Times New Roman" w:hAnsi="Times New Roman"/>
          <w:sz w:val="24"/>
          <w:szCs w:val="24"/>
        </w:rPr>
        <w:t xml:space="preserve"> </w:t>
      </w:r>
      <w:proofErr w:type="spellStart"/>
      <w:r w:rsidRPr="00CB12BE">
        <w:rPr>
          <w:rFonts w:ascii="Times New Roman" w:hAnsi="Times New Roman"/>
          <w:sz w:val="24"/>
          <w:szCs w:val="24"/>
        </w:rPr>
        <w:t>and</w:t>
      </w:r>
      <w:proofErr w:type="spellEnd"/>
      <w:r w:rsidRPr="00CB12BE">
        <w:rPr>
          <w:rFonts w:ascii="Times New Roman" w:hAnsi="Times New Roman"/>
          <w:sz w:val="24"/>
          <w:szCs w:val="24"/>
        </w:rPr>
        <w:t xml:space="preserve"> </w:t>
      </w:r>
      <w:proofErr w:type="spellStart"/>
      <w:r w:rsidRPr="00CB12BE">
        <w:rPr>
          <w:rFonts w:ascii="Times New Roman" w:hAnsi="Times New Roman"/>
          <w:sz w:val="24"/>
          <w:szCs w:val="24"/>
        </w:rPr>
        <w:t>water</w:t>
      </w:r>
      <w:proofErr w:type="spellEnd"/>
      <w:r w:rsidRPr="00CB12BE">
        <w:rPr>
          <w:rFonts w:ascii="Times New Roman" w:hAnsi="Times New Roman"/>
          <w:sz w:val="24"/>
          <w:szCs w:val="24"/>
        </w:rPr>
        <w:t xml:space="preserve"> </w:t>
      </w:r>
      <w:proofErr w:type="spellStart"/>
      <w:r w:rsidRPr="00CB12BE">
        <w:rPr>
          <w:rFonts w:ascii="Times New Roman" w:hAnsi="Times New Roman"/>
          <w:sz w:val="24"/>
          <w:szCs w:val="24"/>
        </w:rPr>
        <w:t>surplus</w:t>
      </w:r>
      <w:proofErr w:type="spellEnd"/>
      <w:r w:rsidRPr="00CB12BE">
        <w:rPr>
          <w:rFonts w:ascii="Times New Roman" w:hAnsi="Times New Roman"/>
          <w:sz w:val="24"/>
          <w:szCs w:val="24"/>
        </w:rPr>
        <w:t xml:space="preserve"> </w:t>
      </w:r>
      <w:proofErr w:type="spellStart"/>
      <w:r w:rsidRPr="00CB12BE">
        <w:rPr>
          <w:rFonts w:ascii="Times New Roman" w:hAnsi="Times New Roman"/>
          <w:sz w:val="24"/>
          <w:szCs w:val="24"/>
        </w:rPr>
        <w:t>maps</w:t>
      </w:r>
      <w:proofErr w:type="spellEnd"/>
      <w:r w:rsidRPr="00CB12BE">
        <w:rPr>
          <w:rFonts w:ascii="Times New Roman" w:hAnsi="Times New Roman"/>
          <w:sz w:val="24"/>
          <w:szCs w:val="24"/>
        </w:rPr>
        <w:t xml:space="preserve"> for </w:t>
      </w:r>
      <w:proofErr w:type="spellStart"/>
      <w:r w:rsidRPr="00CB12BE">
        <w:rPr>
          <w:rFonts w:ascii="Times New Roman" w:hAnsi="Times New Roman"/>
          <w:sz w:val="24"/>
          <w:szCs w:val="24"/>
        </w:rPr>
        <w:t>Brazil</w:t>
      </w:r>
      <w:proofErr w:type="spellEnd"/>
      <w:r w:rsidRPr="00CB12BE">
        <w:rPr>
          <w:rFonts w:ascii="Times New Roman" w:hAnsi="Times New Roman"/>
          <w:sz w:val="24"/>
          <w:szCs w:val="24"/>
        </w:rPr>
        <w:t xml:space="preserve">, </w:t>
      </w:r>
      <w:proofErr w:type="spellStart"/>
      <w:r w:rsidRPr="00CB12BE">
        <w:rPr>
          <w:rFonts w:ascii="Times New Roman" w:hAnsi="Times New Roman"/>
          <w:sz w:val="24"/>
          <w:szCs w:val="24"/>
        </w:rPr>
        <w:t>based</w:t>
      </w:r>
      <w:proofErr w:type="spellEnd"/>
      <w:r w:rsidRPr="00CB12BE">
        <w:rPr>
          <w:rFonts w:ascii="Times New Roman" w:hAnsi="Times New Roman"/>
          <w:sz w:val="24"/>
          <w:szCs w:val="24"/>
        </w:rPr>
        <w:t xml:space="preserve"> </w:t>
      </w:r>
      <w:proofErr w:type="spellStart"/>
      <w:r w:rsidRPr="00CB12BE">
        <w:rPr>
          <w:rFonts w:ascii="Times New Roman" w:hAnsi="Times New Roman"/>
          <w:sz w:val="24"/>
          <w:szCs w:val="24"/>
        </w:rPr>
        <w:t>on</w:t>
      </w:r>
      <w:proofErr w:type="spellEnd"/>
      <w:r w:rsidRPr="00CB12BE">
        <w:rPr>
          <w:rFonts w:ascii="Times New Roman" w:hAnsi="Times New Roman"/>
          <w:sz w:val="24"/>
          <w:szCs w:val="24"/>
        </w:rPr>
        <w:t xml:space="preserve"> FAO </w:t>
      </w:r>
      <w:proofErr w:type="spellStart"/>
      <w:r w:rsidRPr="00CB12BE">
        <w:rPr>
          <w:rFonts w:ascii="Times New Roman" w:hAnsi="Times New Roman"/>
          <w:sz w:val="24"/>
          <w:szCs w:val="24"/>
        </w:rPr>
        <w:t>Penman-Monteith</w:t>
      </w:r>
      <w:proofErr w:type="spellEnd"/>
      <w:r w:rsidRPr="00CB12BE">
        <w:rPr>
          <w:rFonts w:ascii="Times New Roman" w:hAnsi="Times New Roman"/>
          <w:sz w:val="24"/>
          <w:szCs w:val="24"/>
        </w:rPr>
        <w:t xml:space="preserve"> </w:t>
      </w:r>
      <w:proofErr w:type="spellStart"/>
      <w:r w:rsidRPr="00CB12BE">
        <w:rPr>
          <w:rFonts w:ascii="Times New Roman" w:hAnsi="Times New Roman"/>
          <w:sz w:val="24"/>
          <w:szCs w:val="24"/>
        </w:rPr>
        <w:t>potential</w:t>
      </w:r>
      <w:proofErr w:type="spellEnd"/>
      <w:r w:rsidRPr="00CB12BE">
        <w:rPr>
          <w:rFonts w:ascii="Times New Roman" w:hAnsi="Times New Roman"/>
          <w:sz w:val="24"/>
          <w:szCs w:val="24"/>
        </w:rPr>
        <w:t xml:space="preserve"> evapotranspiration. </w:t>
      </w:r>
      <w:proofErr w:type="spellStart"/>
      <w:r w:rsidRPr="007151C9">
        <w:rPr>
          <w:rFonts w:ascii="Times New Roman" w:hAnsi="Times New Roman"/>
          <w:b/>
          <w:sz w:val="24"/>
          <w:szCs w:val="24"/>
        </w:rPr>
        <w:t>Ambiágua</w:t>
      </w:r>
      <w:proofErr w:type="spellEnd"/>
      <w:r w:rsidRPr="007151C9">
        <w:rPr>
          <w:rFonts w:ascii="Times New Roman" w:hAnsi="Times New Roman"/>
          <w:sz w:val="24"/>
          <w:szCs w:val="24"/>
        </w:rPr>
        <w:t>, v.3, n.3, p.28-42, 2008.</w:t>
      </w:r>
    </w:p>
    <w:p w:rsidR="007F3273" w:rsidRDefault="006D0856" w:rsidP="000928AE">
      <w:pPr>
        <w:spacing w:before="120" w:after="120" w:line="240" w:lineRule="auto"/>
        <w:jc w:val="both"/>
        <w:rPr>
          <w:rFonts w:ascii="Times New Roman" w:hAnsi="Times New Roman"/>
          <w:sz w:val="24"/>
          <w:szCs w:val="24"/>
        </w:rPr>
      </w:pPr>
      <w:r w:rsidRPr="005353EC">
        <w:rPr>
          <w:rFonts w:ascii="Times New Roman" w:hAnsi="Times New Roman"/>
          <w:sz w:val="24"/>
          <w:szCs w:val="24"/>
        </w:rPr>
        <w:t>S</w:t>
      </w:r>
      <w:r w:rsidR="00753FA3" w:rsidRPr="005353EC">
        <w:rPr>
          <w:rFonts w:ascii="Times New Roman" w:hAnsi="Times New Roman"/>
          <w:sz w:val="24"/>
          <w:szCs w:val="24"/>
        </w:rPr>
        <w:t>ILVA</w:t>
      </w:r>
      <w:r w:rsidRPr="005353EC">
        <w:rPr>
          <w:rFonts w:ascii="Times New Roman" w:hAnsi="Times New Roman"/>
          <w:sz w:val="24"/>
          <w:szCs w:val="24"/>
        </w:rPr>
        <w:t>, A. O</w:t>
      </w:r>
      <w:proofErr w:type="gramStart"/>
      <w:r w:rsidRPr="005353EC">
        <w:rPr>
          <w:rFonts w:ascii="Times New Roman" w:hAnsi="Times New Roman"/>
          <w:sz w:val="24"/>
          <w:szCs w:val="24"/>
        </w:rPr>
        <w:t>.;</w:t>
      </w:r>
      <w:proofErr w:type="gramEnd"/>
      <w:r w:rsidRPr="005353EC">
        <w:rPr>
          <w:rFonts w:ascii="Times New Roman" w:hAnsi="Times New Roman"/>
          <w:sz w:val="24"/>
          <w:szCs w:val="24"/>
        </w:rPr>
        <w:t xml:space="preserve"> S</w:t>
      </w:r>
      <w:r w:rsidR="00753FA3" w:rsidRPr="005353EC">
        <w:rPr>
          <w:rFonts w:ascii="Times New Roman" w:hAnsi="Times New Roman"/>
          <w:sz w:val="24"/>
          <w:szCs w:val="24"/>
        </w:rPr>
        <w:t>ILVA</w:t>
      </w:r>
      <w:r w:rsidRPr="005353EC">
        <w:rPr>
          <w:rFonts w:ascii="Times New Roman" w:hAnsi="Times New Roman"/>
          <w:sz w:val="24"/>
          <w:szCs w:val="24"/>
        </w:rPr>
        <w:t>, A. N. P.; M</w:t>
      </w:r>
      <w:r w:rsidR="00753FA3" w:rsidRPr="005353EC">
        <w:rPr>
          <w:rFonts w:ascii="Times New Roman" w:hAnsi="Times New Roman"/>
          <w:sz w:val="24"/>
          <w:szCs w:val="24"/>
        </w:rPr>
        <w:t>OURA</w:t>
      </w:r>
      <w:r w:rsidRPr="005353EC">
        <w:rPr>
          <w:rFonts w:ascii="Times New Roman" w:hAnsi="Times New Roman"/>
          <w:sz w:val="24"/>
          <w:szCs w:val="24"/>
        </w:rPr>
        <w:t>, G. B. A.; L</w:t>
      </w:r>
      <w:r w:rsidR="00753FA3" w:rsidRPr="005353EC">
        <w:rPr>
          <w:rFonts w:ascii="Times New Roman" w:hAnsi="Times New Roman"/>
          <w:sz w:val="24"/>
          <w:szCs w:val="24"/>
        </w:rPr>
        <w:t>OPES</w:t>
      </w:r>
      <w:r w:rsidRPr="005353EC">
        <w:rPr>
          <w:rFonts w:ascii="Times New Roman" w:hAnsi="Times New Roman"/>
          <w:sz w:val="24"/>
          <w:szCs w:val="24"/>
        </w:rPr>
        <w:t>, P. M. O.; M</w:t>
      </w:r>
      <w:r w:rsidR="00753FA3" w:rsidRPr="005353EC">
        <w:rPr>
          <w:rFonts w:ascii="Times New Roman" w:hAnsi="Times New Roman"/>
          <w:sz w:val="24"/>
          <w:szCs w:val="24"/>
        </w:rPr>
        <w:t>EDEIROS</w:t>
      </w:r>
      <w:r w:rsidRPr="005353EC">
        <w:rPr>
          <w:rFonts w:ascii="Times New Roman" w:hAnsi="Times New Roman"/>
          <w:sz w:val="24"/>
          <w:szCs w:val="24"/>
        </w:rPr>
        <w:t xml:space="preserve">, S. R. R. Zoneamento agroclimático da pitangueira para três cenários distintos de precipitação pluvial em Pernambuco. </w:t>
      </w:r>
      <w:r w:rsidRPr="005353EC">
        <w:rPr>
          <w:rFonts w:ascii="Times New Roman" w:hAnsi="Times New Roman"/>
          <w:b/>
          <w:sz w:val="24"/>
          <w:szCs w:val="24"/>
        </w:rPr>
        <w:t>Revista caatinga</w:t>
      </w:r>
      <w:r w:rsidRPr="005353EC">
        <w:rPr>
          <w:rFonts w:ascii="Times New Roman" w:hAnsi="Times New Roman"/>
          <w:sz w:val="24"/>
          <w:szCs w:val="24"/>
        </w:rPr>
        <w:t>, v.24, n.1, p.104-115, 2011.</w:t>
      </w:r>
    </w:p>
    <w:p w:rsidR="000928AE" w:rsidRDefault="007F3273" w:rsidP="000928AE">
      <w:pPr>
        <w:spacing w:before="120" w:after="120" w:line="240" w:lineRule="auto"/>
        <w:jc w:val="both"/>
        <w:rPr>
          <w:rFonts w:ascii="Times New Roman" w:hAnsi="Times New Roman"/>
          <w:sz w:val="24"/>
          <w:szCs w:val="24"/>
        </w:rPr>
      </w:pPr>
      <w:r>
        <w:rPr>
          <w:rFonts w:ascii="Times New Roman" w:hAnsi="Times New Roman"/>
          <w:sz w:val="24"/>
          <w:szCs w:val="24"/>
        </w:rPr>
        <w:t>SILVA, A. O</w:t>
      </w:r>
      <w:proofErr w:type="gramStart"/>
      <w:r>
        <w:rPr>
          <w:rFonts w:ascii="Times New Roman" w:hAnsi="Times New Roman"/>
          <w:sz w:val="24"/>
          <w:szCs w:val="24"/>
        </w:rPr>
        <w:t>.;</w:t>
      </w:r>
      <w:proofErr w:type="gramEnd"/>
      <w:r>
        <w:rPr>
          <w:rFonts w:ascii="Times New Roman" w:hAnsi="Times New Roman"/>
          <w:sz w:val="24"/>
          <w:szCs w:val="24"/>
        </w:rPr>
        <w:t xml:space="preserve"> MOURA, G. B. A.; SILVA, E. F. F.; LOPES, P. M. O</w:t>
      </w:r>
      <w:proofErr w:type="gramStart"/>
      <w:r>
        <w:rPr>
          <w:rFonts w:ascii="Times New Roman" w:hAnsi="Times New Roman"/>
          <w:sz w:val="24"/>
          <w:szCs w:val="24"/>
        </w:rPr>
        <w:t>.;</w:t>
      </w:r>
      <w:proofErr w:type="gramEnd"/>
      <w:r>
        <w:rPr>
          <w:rFonts w:ascii="Times New Roman" w:hAnsi="Times New Roman"/>
          <w:sz w:val="24"/>
          <w:szCs w:val="24"/>
        </w:rPr>
        <w:t xml:space="preserve"> SILVA, A. P. N. Analise-espaço temporal da evapotranspiração de referência sob diferentes regimes de precipitações em Pernambuco. </w:t>
      </w:r>
      <w:r w:rsidRPr="007F3273">
        <w:rPr>
          <w:rFonts w:ascii="Times New Roman" w:hAnsi="Times New Roman"/>
          <w:b/>
          <w:sz w:val="24"/>
          <w:szCs w:val="24"/>
        </w:rPr>
        <w:t>Revista caatinga</w:t>
      </w:r>
      <w:r>
        <w:rPr>
          <w:rFonts w:ascii="Times New Roman" w:hAnsi="Times New Roman"/>
          <w:sz w:val="24"/>
          <w:szCs w:val="24"/>
        </w:rPr>
        <w:t>, v.24, n.2, p.135-142, 2011.</w:t>
      </w:r>
    </w:p>
    <w:p w:rsidR="007F3273" w:rsidRPr="00E354FE" w:rsidRDefault="006D0856" w:rsidP="00E354FE">
      <w:pPr>
        <w:spacing w:before="120" w:after="120" w:line="240" w:lineRule="auto"/>
        <w:jc w:val="both"/>
        <w:rPr>
          <w:rStyle w:val="nfase"/>
          <w:rFonts w:ascii="Times New Roman" w:hAnsi="Times New Roman"/>
          <w:i w:val="0"/>
          <w:iCs w:val="0"/>
          <w:sz w:val="24"/>
          <w:szCs w:val="24"/>
        </w:rPr>
      </w:pPr>
      <w:r w:rsidRPr="005353EC">
        <w:rPr>
          <w:rFonts w:ascii="Times New Roman" w:hAnsi="Times New Roman"/>
          <w:sz w:val="24"/>
          <w:szCs w:val="24"/>
        </w:rPr>
        <w:t xml:space="preserve">SUDENE. </w:t>
      </w:r>
      <w:r w:rsidRPr="005353EC">
        <w:rPr>
          <w:rFonts w:ascii="Times New Roman" w:hAnsi="Times New Roman"/>
          <w:b/>
          <w:sz w:val="24"/>
          <w:szCs w:val="24"/>
        </w:rPr>
        <w:t>Normais Climatológicas da Área da SUDENE</w:t>
      </w:r>
      <w:r w:rsidRPr="005353EC">
        <w:rPr>
          <w:rFonts w:ascii="Times New Roman" w:hAnsi="Times New Roman"/>
          <w:sz w:val="24"/>
          <w:szCs w:val="24"/>
        </w:rPr>
        <w:t>. Superintendência do Desenvolvimento do Nordeste. Convênio com o Serviço de Meteorologia, Recife. 1990.</w:t>
      </w:r>
    </w:p>
    <w:p w:rsidR="000928AE" w:rsidRDefault="007F3273" w:rsidP="000928AE">
      <w:pPr>
        <w:autoSpaceDE w:val="0"/>
        <w:autoSpaceDN w:val="0"/>
        <w:adjustRightInd w:val="0"/>
        <w:spacing w:before="120" w:after="120" w:line="240" w:lineRule="auto"/>
        <w:jc w:val="both"/>
        <w:rPr>
          <w:rFonts w:ascii="Times New Roman" w:hAnsi="Times New Roman"/>
          <w:sz w:val="24"/>
          <w:szCs w:val="24"/>
          <w:lang w:val="en-US"/>
        </w:rPr>
      </w:pPr>
      <w:r w:rsidRPr="007F3273">
        <w:rPr>
          <w:rStyle w:val="nfase"/>
          <w:rFonts w:ascii="Times New Roman" w:hAnsi="Times New Roman"/>
          <w:i w:val="0"/>
          <w:sz w:val="24"/>
          <w:szCs w:val="24"/>
        </w:rPr>
        <w:t>PEREIRA</w:t>
      </w:r>
      <w:r w:rsidRPr="007F3273">
        <w:rPr>
          <w:rFonts w:ascii="Times New Roman" w:hAnsi="Times New Roman"/>
          <w:i/>
          <w:sz w:val="24"/>
          <w:szCs w:val="24"/>
        </w:rPr>
        <w:t xml:space="preserve">, </w:t>
      </w:r>
      <w:proofErr w:type="spellStart"/>
      <w:r w:rsidRPr="007F3273">
        <w:rPr>
          <w:rFonts w:ascii="Times New Roman" w:hAnsi="Times New Roman"/>
          <w:sz w:val="24"/>
          <w:szCs w:val="24"/>
        </w:rPr>
        <w:t>A.R</w:t>
      </w:r>
      <w:r w:rsidRPr="007F3273">
        <w:rPr>
          <w:rFonts w:ascii="Times New Roman" w:hAnsi="Times New Roman"/>
          <w:i/>
          <w:sz w:val="24"/>
          <w:szCs w:val="24"/>
        </w:rPr>
        <w:t>.</w:t>
      </w:r>
      <w:proofErr w:type="spellEnd"/>
      <w:r w:rsidRPr="007F3273">
        <w:rPr>
          <w:rFonts w:ascii="Times New Roman" w:hAnsi="Times New Roman"/>
          <w:i/>
          <w:sz w:val="24"/>
          <w:szCs w:val="24"/>
        </w:rPr>
        <w:t xml:space="preserve">; </w:t>
      </w:r>
      <w:r w:rsidRPr="007F3273">
        <w:rPr>
          <w:rStyle w:val="nfase"/>
          <w:rFonts w:ascii="Times New Roman" w:hAnsi="Times New Roman"/>
          <w:i w:val="0"/>
          <w:sz w:val="24"/>
          <w:szCs w:val="24"/>
        </w:rPr>
        <w:t>VILLA NOVA</w:t>
      </w:r>
      <w:r w:rsidRPr="007F3273">
        <w:rPr>
          <w:rFonts w:ascii="Times New Roman" w:hAnsi="Times New Roman"/>
          <w:i/>
          <w:sz w:val="24"/>
          <w:szCs w:val="24"/>
        </w:rPr>
        <w:t xml:space="preserve">, </w:t>
      </w:r>
      <w:proofErr w:type="spellStart"/>
      <w:r w:rsidRPr="007F3273">
        <w:rPr>
          <w:rFonts w:ascii="Times New Roman" w:hAnsi="Times New Roman"/>
          <w:sz w:val="24"/>
          <w:szCs w:val="24"/>
        </w:rPr>
        <w:t>N.A.</w:t>
      </w:r>
      <w:proofErr w:type="spellEnd"/>
      <w:r w:rsidRPr="007F3273">
        <w:rPr>
          <w:rFonts w:ascii="Times New Roman" w:hAnsi="Times New Roman"/>
          <w:sz w:val="24"/>
          <w:szCs w:val="24"/>
        </w:rPr>
        <w:t>;</w:t>
      </w:r>
      <w:r w:rsidRPr="007F3273">
        <w:rPr>
          <w:rFonts w:ascii="Times New Roman" w:hAnsi="Times New Roman"/>
          <w:i/>
          <w:sz w:val="24"/>
          <w:szCs w:val="24"/>
        </w:rPr>
        <w:t xml:space="preserve"> </w:t>
      </w:r>
      <w:r w:rsidRPr="007F3273">
        <w:rPr>
          <w:rStyle w:val="nfase"/>
          <w:rFonts w:ascii="Times New Roman" w:hAnsi="Times New Roman"/>
          <w:i w:val="0"/>
          <w:sz w:val="24"/>
          <w:szCs w:val="24"/>
        </w:rPr>
        <w:t>SEDIYAMA</w:t>
      </w:r>
      <w:r w:rsidRPr="007F3273">
        <w:rPr>
          <w:rFonts w:ascii="Times New Roman" w:hAnsi="Times New Roman"/>
          <w:i/>
          <w:sz w:val="24"/>
          <w:szCs w:val="24"/>
        </w:rPr>
        <w:t>,</w:t>
      </w:r>
      <w:r w:rsidR="006D0856" w:rsidRPr="005353EC">
        <w:rPr>
          <w:rFonts w:ascii="Times New Roman" w:hAnsi="Times New Roman"/>
          <w:i/>
          <w:sz w:val="24"/>
          <w:szCs w:val="24"/>
        </w:rPr>
        <w:t xml:space="preserve"> </w:t>
      </w:r>
      <w:proofErr w:type="spellStart"/>
      <w:r w:rsidR="006D0856" w:rsidRPr="005353EC">
        <w:rPr>
          <w:rFonts w:ascii="Times New Roman" w:hAnsi="Times New Roman"/>
          <w:sz w:val="24"/>
          <w:szCs w:val="24"/>
        </w:rPr>
        <w:t>G.C</w:t>
      </w:r>
      <w:r w:rsidR="006D0856" w:rsidRPr="005353EC">
        <w:rPr>
          <w:rFonts w:ascii="Times New Roman" w:hAnsi="Times New Roman"/>
          <w:i/>
          <w:sz w:val="24"/>
          <w:szCs w:val="24"/>
        </w:rPr>
        <w:t>.</w:t>
      </w:r>
      <w:proofErr w:type="spellEnd"/>
      <w:r w:rsidR="006D0856" w:rsidRPr="005353EC">
        <w:rPr>
          <w:rFonts w:ascii="Times New Roman" w:hAnsi="Times New Roman"/>
          <w:sz w:val="24"/>
          <w:szCs w:val="24"/>
        </w:rPr>
        <w:t xml:space="preserve"> </w:t>
      </w:r>
      <w:proofErr w:type="spellStart"/>
      <w:proofErr w:type="gramStart"/>
      <w:r w:rsidR="006D0856" w:rsidRPr="005353EC">
        <w:rPr>
          <w:rFonts w:ascii="Times New Roman" w:hAnsi="Times New Roman"/>
          <w:b/>
          <w:sz w:val="24"/>
          <w:szCs w:val="24"/>
        </w:rPr>
        <w:t>Evapo</w:t>
      </w:r>
      <w:proofErr w:type="spellEnd"/>
      <w:r w:rsidR="006D0856" w:rsidRPr="005353EC">
        <w:rPr>
          <w:rFonts w:ascii="Times New Roman" w:hAnsi="Times New Roman"/>
          <w:b/>
          <w:sz w:val="24"/>
          <w:szCs w:val="24"/>
        </w:rPr>
        <w:t>(</w:t>
      </w:r>
      <w:proofErr w:type="spellStart"/>
      <w:proofErr w:type="gramEnd"/>
      <w:r w:rsidR="006D0856" w:rsidRPr="005353EC">
        <w:rPr>
          <w:rFonts w:ascii="Times New Roman" w:hAnsi="Times New Roman"/>
          <w:b/>
          <w:sz w:val="24"/>
          <w:szCs w:val="24"/>
        </w:rPr>
        <w:t>transpi</w:t>
      </w:r>
      <w:proofErr w:type="spellEnd"/>
      <w:r w:rsidR="006D0856" w:rsidRPr="005353EC">
        <w:rPr>
          <w:rFonts w:ascii="Times New Roman" w:hAnsi="Times New Roman"/>
          <w:b/>
          <w:sz w:val="24"/>
          <w:szCs w:val="24"/>
        </w:rPr>
        <w:t>)ração.</w:t>
      </w:r>
      <w:r w:rsidR="006D0856" w:rsidRPr="005353EC">
        <w:rPr>
          <w:rFonts w:ascii="Times New Roman" w:hAnsi="Times New Roman"/>
          <w:sz w:val="24"/>
          <w:szCs w:val="24"/>
        </w:rPr>
        <w:t xml:space="preserve"> </w:t>
      </w:r>
      <w:r w:rsidR="006D0856" w:rsidRPr="005353EC">
        <w:rPr>
          <w:rFonts w:ascii="Times New Roman" w:hAnsi="Times New Roman"/>
          <w:sz w:val="24"/>
          <w:szCs w:val="24"/>
          <w:lang w:val="en-US"/>
        </w:rPr>
        <w:t>Piracicaba:</w:t>
      </w:r>
      <w:r w:rsidR="006D0856" w:rsidRPr="005353EC">
        <w:rPr>
          <w:rFonts w:ascii="Times New Roman" w:hAnsi="Times New Roman"/>
          <w:i/>
          <w:sz w:val="24"/>
          <w:szCs w:val="24"/>
          <w:lang w:val="en-US"/>
        </w:rPr>
        <w:t xml:space="preserve"> </w:t>
      </w:r>
      <w:r>
        <w:rPr>
          <w:rFonts w:ascii="Times New Roman" w:hAnsi="Times New Roman"/>
          <w:sz w:val="24"/>
          <w:szCs w:val="24"/>
          <w:lang w:val="en-US"/>
        </w:rPr>
        <w:t>FEALQ, 1997</w:t>
      </w:r>
      <w:r w:rsidR="006D0856" w:rsidRPr="005353EC">
        <w:rPr>
          <w:rFonts w:ascii="Times New Roman" w:hAnsi="Times New Roman"/>
          <w:sz w:val="24"/>
          <w:szCs w:val="24"/>
          <w:lang w:val="en-US"/>
        </w:rPr>
        <w:t xml:space="preserve">. </w:t>
      </w:r>
      <w:proofErr w:type="gramStart"/>
      <w:r w:rsidR="006D0856" w:rsidRPr="005353EC">
        <w:rPr>
          <w:rFonts w:ascii="Times New Roman" w:hAnsi="Times New Roman"/>
          <w:sz w:val="24"/>
          <w:szCs w:val="24"/>
          <w:lang w:val="en-US"/>
        </w:rPr>
        <w:t>183 p.</w:t>
      </w:r>
      <w:proofErr w:type="gramEnd"/>
      <w:r w:rsidR="006D0856" w:rsidRPr="005353EC">
        <w:rPr>
          <w:rFonts w:ascii="Times New Roman" w:hAnsi="Times New Roman"/>
          <w:sz w:val="24"/>
          <w:szCs w:val="24"/>
          <w:lang w:val="en-US"/>
        </w:rPr>
        <w:t xml:space="preserve">  </w:t>
      </w:r>
    </w:p>
    <w:p w:rsidR="000928AE" w:rsidRDefault="006D0856" w:rsidP="00E354FE">
      <w:pPr>
        <w:autoSpaceDE w:val="0"/>
        <w:autoSpaceDN w:val="0"/>
        <w:adjustRightInd w:val="0"/>
        <w:spacing w:before="120" w:after="120" w:line="240" w:lineRule="auto"/>
        <w:jc w:val="both"/>
        <w:rPr>
          <w:rFonts w:ascii="Times New Roman" w:hAnsi="Times New Roman"/>
          <w:sz w:val="24"/>
          <w:szCs w:val="24"/>
          <w:lang w:val="en-US"/>
        </w:rPr>
      </w:pPr>
      <w:r w:rsidRPr="005353EC">
        <w:rPr>
          <w:rFonts w:ascii="Times New Roman" w:hAnsi="Times New Roman"/>
          <w:sz w:val="24"/>
          <w:szCs w:val="24"/>
          <w:lang w:val="en-US"/>
        </w:rPr>
        <w:t>T</w:t>
      </w:r>
      <w:r w:rsidR="00753FA3" w:rsidRPr="005353EC">
        <w:rPr>
          <w:rFonts w:ascii="Times New Roman" w:hAnsi="Times New Roman"/>
          <w:sz w:val="24"/>
          <w:szCs w:val="24"/>
          <w:lang w:val="en-US"/>
        </w:rPr>
        <w:t>HORNTWAITE</w:t>
      </w:r>
      <w:r w:rsidRPr="005353EC">
        <w:rPr>
          <w:rFonts w:ascii="Times New Roman" w:hAnsi="Times New Roman"/>
          <w:sz w:val="24"/>
          <w:szCs w:val="24"/>
          <w:lang w:val="en-US"/>
        </w:rPr>
        <w:t xml:space="preserve">, C. W. An approach toward a rational classification of climate, </w:t>
      </w:r>
      <w:r w:rsidRPr="005353EC">
        <w:rPr>
          <w:rFonts w:ascii="Times New Roman" w:hAnsi="Times New Roman"/>
          <w:b/>
          <w:sz w:val="24"/>
          <w:szCs w:val="24"/>
          <w:lang w:val="en-US"/>
        </w:rPr>
        <w:t>G</w:t>
      </w:r>
      <w:r w:rsidRPr="005353EC">
        <w:rPr>
          <w:rFonts w:ascii="Times New Roman" w:hAnsi="Times New Roman"/>
          <w:b/>
          <w:bCs/>
          <w:sz w:val="24"/>
          <w:szCs w:val="24"/>
          <w:lang w:val="en-US"/>
        </w:rPr>
        <w:t>eographical Review</w:t>
      </w:r>
      <w:r w:rsidRPr="005353EC">
        <w:rPr>
          <w:rFonts w:ascii="Times New Roman" w:hAnsi="Times New Roman"/>
          <w:b/>
          <w:sz w:val="24"/>
          <w:szCs w:val="24"/>
          <w:lang w:val="en-US"/>
        </w:rPr>
        <w:t>,</w:t>
      </w:r>
      <w:r w:rsidRPr="005353EC">
        <w:rPr>
          <w:rFonts w:ascii="Times New Roman" w:hAnsi="Times New Roman"/>
          <w:sz w:val="24"/>
          <w:szCs w:val="24"/>
          <w:lang w:val="en-US"/>
        </w:rPr>
        <w:t xml:space="preserve"> n. 1, p. 55-94, 1948.</w:t>
      </w:r>
    </w:p>
    <w:p w:rsidR="006D0856" w:rsidRPr="005353EC" w:rsidRDefault="006D0856" w:rsidP="000928AE">
      <w:pPr>
        <w:spacing w:before="120" w:after="120" w:line="240" w:lineRule="auto"/>
        <w:jc w:val="both"/>
        <w:rPr>
          <w:rFonts w:ascii="Times New Roman" w:hAnsi="Times New Roman"/>
          <w:sz w:val="24"/>
          <w:szCs w:val="24"/>
          <w:lang w:val="en-US"/>
        </w:rPr>
      </w:pPr>
      <w:proofErr w:type="gramStart"/>
      <w:r w:rsidRPr="005353EC">
        <w:rPr>
          <w:rFonts w:ascii="Times New Roman" w:hAnsi="Times New Roman"/>
          <w:sz w:val="24"/>
          <w:szCs w:val="24"/>
          <w:lang w:val="en-US"/>
        </w:rPr>
        <w:t>T</w:t>
      </w:r>
      <w:r w:rsidR="00753FA3" w:rsidRPr="005353EC">
        <w:rPr>
          <w:rFonts w:ascii="Times New Roman" w:hAnsi="Times New Roman"/>
          <w:sz w:val="24"/>
          <w:szCs w:val="24"/>
          <w:lang w:val="en-US"/>
        </w:rPr>
        <w:t>HORNTHWAITE</w:t>
      </w:r>
      <w:r w:rsidRPr="005353EC">
        <w:rPr>
          <w:rFonts w:ascii="Times New Roman" w:hAnsi="Times New Roman"/>
          <w:sz w:val="24"/>
          <w:szCs w:val="24"/>
          <w:lang w:val="en-US"/>
        </w:rPr>
        <w:t>, C. W.; M</w:t>
      </w:r>
      <w:r w:rsidR="00753FA3" w:rsidRPr="005353EC">
        <w:rPr>
          <w:rFonts w:ascii="Times New Roman" w:hAnsi="Times New Roman"/>
          <w:sz w:val="24"/>
          <w:szCs w:val="24"/>
          <w:lang w:val="en-US"/>
        </w:rPr>
        <w:t>ATHER,</w:t>
      </w:r>
      <w:r w:rsidRPr="005353EC">
        <w:rPr>
          <w:rFonts w:ascii="Times New Roman" w:hAnsi="Times New Roman"/>
          <w:sz w:val="24"/>
          <w:szCs w:val="24"/>
          <w:lang w:val="en-US"/>
        </w:rPr>
        <w:t xml:space="preserve"> J. R.</w:t>
      </w:r>
      <w:proofErr w:type="gramEnd"/>
      <w:r w:rsidRPr="005353EC">
        <w:rPr>
          <w:rFonts w:ascii="Times New Roman" w:hAnsi="Times New Roman"/>
          <w:sz w:val="24"/>
          <w:szCs w:val="24"/>
          <w:lang w:val="en-US"/>
        </w:rPr>
        <w:t xml:space="preserve"> </w:t>
      </w:r>
      <w:proofErr w:type="gramStart"/>
      <w:r w:rsidRPr="005353EC">
        <w:rPr>
          <w:rFonts w:ascii="Times New Roman" w:hAnsi="Times New Roman"/>
          <w:sz w:val="24"/>
          <w:szCs w:val="24"/>
          <w:lang w:val="en-US"/>
        </w:rPr>
        <w:t>The water balance.</w:t>
      </w:r>
      <w:proofErr w:type="gramEnd"/>
      <w:r w:rsidRPr="005353EC">
        <w:rPr>
          <w:rFonts w:ascii="Times New Roman" w:hAnsi="Times New Roman"/>
          <w:sz w:val="24"/>
          <w:szCs w:val="24"/>
          <w:lang w:val="en-US"/>
        </w:rPr>
        <w:t xml:space="preserve"> </w:t>
      </w:r>
      <w:proofErr w:type="gramStart"/>
      <w:r w:rsidRPr="005353EC">
        <w:rPr>
          <w:rFonts w:ascii="Times New Roman" w:hAnsi="Times New Roman"/>
          <w:b/>
          <w:sz w:val="24"/>
          <w:szCs w:val="24"/>
          <w:lang w:val="en-US"/>
        </w:rPr>
        <w:t>Publication in Climatology</w:t>
      </w:r>
      <w:r w:rsidRPr="005353EC">
        <w:rPr>
          <w:rFonts w:ascii="Times New Roman" w:hAnsi="Times New Roman"/>
          <w:sz w:val="24"/>
          <w:szCs w:val="24"/>
          <w:lang w:val="en-US"/>
        </w:rPr>
        <w:t xml:space="preserve">, Laboratory of Climatology, </w:t>
      </w:r>
      <w:proofErr w:type="spellStart"/>
      <w:r w:rsidRPr="005353EC">
        <w:rPr>
          <w:rFonts w:ascii="Times New Roman" w:hAnsi="Times New Roman"/>
          <w:sz w:val="24"/>
          <w:szCs w:val="24"/>
          <w:lang w:val="en-US"/>
        </w:rPr>
        <w:t>Centerton</w:t>
      </w:r>
      <w:proofErr w:type="spellEnd"/>
      <w:r w:rsidRPr="005353EC">
        <w:rPr>
          <w:rFonts w:ascii="Times New Roman" w:hAnsi="Times New Roman"/>
          <w:sz w:val="24"/>
          <w:szCs w:val="24"/>
          <w:lang w:val="en-US"/>
        </w:rPr>
        <w:t>, v. 8, n.1.</w:t>
      </w:r>
      <w:proofErr w:type="gramEnd"/>
      <w:r w:rsidRPr="005353EC">
        <w:rPr>
          <w:rFonts w:ascii="Times New Roman" w:hAnsi="Times New Roman"/>
          <w:sz w:val="24"/>
          <w:szCs w:val="24"/>
          <w:lang w:val="en-US"/>
        </w:rPr>
        <w:t xml:space="preserve"> 1955.</w:t>
      </w:r>
    </w:p>
    <w:p w:rsidR="006D0856" w:rsidRPr="006D0856" w:rsidRDefault="006D0856" w:rsidP="00753FA3">
      <w:pPr>
        <w:spacing w:line="480" w:lineRule="auto"/>
        <w:rPr>
          <w:lang w:val="en-US"/>
        </w:rPr>
      </w:pPr>
    </w:p>
    <w:sectPr w:rsidR="006D0856" w:rsidRPr="006D0856" w:rsidSect="00C057E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drawingGridHorizontalSpacing w:val="110"/>
  <w:displayHorizontalDrawingGridEvery w:val="2"/>
  <w:characterSpacingControl w:val="doNotCompress"/>
  <w:compat/>
  <w:rsids>
    <w:rsidRoot w:val="006D0856"/>
    <w:rsid w:val="00026642"/>
    <w:rsid w:val="00070351"/>
    <w:rsid w:val="000928AE"/>
    <w:rsid w:val="000B6BCD"/>
    <w:rsid w:val="001013B1"/>
    <w:rsid w:val="001358F5"/>
    <w:rsid w:val="001A7023"/>
    <w:rsid w:val="00281044"/>
    <w:rsid w:val="003017D0"/>
    <w:rsid w:val="003375BD"/>
    <w:rsid w:val="003B6957"/>
    <w:rsid w:val="004D65DD"/>
    <w:rsid w:val="00575D93"/>
    <w:rsid w:val="005D4E43"/>
    <w:rsid w:val="00606F39"/>
    <w:rsid w:val="00664301"/>
    <w:rsid w:val="0066748B"/>
    <w:rsid w:val="006D0856"/>
    <w:rsid w:val="007151C9"/>
    <w:rsid w:val="00753FA3"/>
    <w:rsid w:val="00761BFC"/>
    <w:rsid w:val="007F3273"/>
    <w:rsid w:val="009019D6"/>
    <w:rsid w:val="009D293D"/>
    <w:rsid w:val="00A7143D"/>
    <w:rsid w:val="00A72829"/>
    <w:rsid w:val="00A7374E"/>
    <w:rsid w:val="00C04FCE"/>
    <w:rsid w:val="00C057E0"/>
    <w:rsid w:val="00C2509F"/>
    <w:rsid w:val="00C636B4"/>
    <w:rsid w:val="00C75741"/>
    <w:rsid w:val="00CB12BE"/>
    <w:rsid w:val="00E00022"/>
    <w:rsid w:val="00E354FE"/>
    <w:rsid w:val="00E447A2"/>
    <w:rsid w:val="00F81842"/>
    <w:rsid w:val="00FA46E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856"/>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6D0856"/>
    <w:pPr>
      <w:spacing w:after="0" w:line="240" w:lineRule="auto"/>
    </w:pPr>
    <w:rPr>
      <w:rFonts w:ascii="Tahoma" w:eastAsiaTheme="minorHAnsi" w:hAnsi="Tahoma" w:cs="Tahoma"/>
      <w:sz w:val="16"/>
      <w:szCs w:val="16"/>
    </w:rPr>
  </w:style>
  <w:style w:type="character" w:customStyle="1" w:styleId="TextodebaloChar">
    <w:name w:val="Texto de balão Char"/>
    <w:basedOn w:val="Fontepargpadro"/>
    <w:link w:val="Textodebalo"/>
    <w:uiPriority w:val="99"/>
    <w:semiHidden/>
    <w:rsid w:val="006D0856"/>
    <w:rPr>
      <w:rFonts w:ascii="Tahoma" w:hAnsi="Tahoma" w:cs="Tahoma"/>
      <w:sz w:val="16"/>
      <w:szCs w:val="16"/>
    </w:rPr>
  </w:style>
  <w:style w:type="character" w:styleId="Forte">
    <w:name w:val="Strong"/>
    <w:basedOn w:val="Fontepargpadro"/>
    <w:qFormat/>
    <w:rsid w:val="006D0856"/>
    <w:rPr>
      <w:b/>
      <w:bCs/>
    </w:rPr>
  </w:style>
  <w:style w:type="character" w:customStyle="1" w:styleId="style51">
    <w:name w:val="style51"/>
    <w:basedOn w:val="Fontepargpadro"/>
    <w:rsid w:val="006D0856"/>
    <w:rPr>
      <w:rFonts w:ascii="Verdana" w:hAnsi="Verdana" w:hint="default"/>
      <w:color w:val="000000"/>
      <w:sz w:val="18"/>
      <w:szCs w:val="18"/>
    </w:rPr>
  </w:style>
  <w:style w:type="character" w:customStyle="1" w:styleId="hps">
    <w:name w:val="hps"/>
    <w:basedOn w:val="Fontepargpadro"/>
    <w:rsid w:val="006D0856"/>
  </w:style>
  <w:style w:type="character" w:styleId="Refdecomentrio">
    <w:name w:val="annotation reference"/>
    <w:basedOn w:val="Fontepargpadro"/>
    <w:uiPriority w:val="99"/>
    <w:semiHidden/>
    <w:unhideWhenUsed/>
    <w:rsid w:val="006D0856"/>
    <w:rPr>
      <w:sz w:val="16"/>
      <w:szCs w:val="16"/>
    </w:rPr>
  </w:style>
  <w:style w:type="paragraph" w:styleId="Textodecomentrio">
    <w:name w:val="annotation text"/>
    <w:basedOn w:val="Normal"/>
    <w:link w:val="TextodecomentrioChar"/>
    <w:uiPriority w:val="99"/>
    <w:semiHidden/>
    <w:unhideWhenUsed/>
    <w:rsid w:val="006D0856"/>
    <w:rPr>
      <w:sz w:val="20"/>
      <w:szCs w:val="20"/>
    </w:rPr>
  </w:style>
  <w:style w:type="character" w:customStyle="1" w:styleId="TextodecomentrioChar">
    <w:name w:val="Texto de comentário Char"/>
    <w:basedOn w:val="Fontepargpadro"/>
    <w:link w:val="Textodecomentrio"/>
    <w:uiPriority w:val="99"/>
    <w:semiHidden/>
    <w:rsid w:val="006D0856"/>
    <w:rPr>
      <w:rFonts w:ascii="Calibri" w:eastAsia="Calibri" w:hAnsi="Calibri" w:cs="Times New Roman"/>
      <w:sz w:val="20"/>
      <w:szCs w:val="20"/>
    </w:rPr>
  </w:style>
  <w:style w:type="character" w:styleId="nfase">
    <w:name w:val="Emphasis"/>
    <w:basedOn w:val="Fontepargpadro"/>
    <w:uiPriority w:val="20"/>
    <w:qFormat/>
    <w:rsid w:val="006D0856"/>
    <w:rPr>
      <w:i/>
      <w:iCs/>
    </w:rPr>
  </w:style>
  <w:style w:type="character" w:customStyle="1" w:styleId="longtext">
    <w:name w:val="long_text"/>
    <w:basedOn w:val="Fontepargpadro"/>
    <w:rsid w:val="006D0856"/>
  </w:style>
  <w:style w:type="character" w:customStyle="1" w:styleId="atn">
    <w:name w:val="atn"/>
    <w:basedOn w:val="Fontepargpadro"/>
    <w:rsid w:val="006D0856"/>
  </w:style>
  <w:style w:type="character" w:styleId="Hyperlink">
    <w:name w:val="Hyperlink"/>
    <w:basedOn w:val="Fontepargpadro"/>
    <w:uiPriority w:val="99"/>
    <w:unhideWhenUsed/>
    <w:rsid w:val="006D0856"/>
    <w:rPr>
      <w:color w:val="0000FF"/>
      <w:u w:val="single"/>
    </w:rPr>
  </w:style>
  <w:style w:type="paragraph" w:styleId="Assuntodocomentrio">
    <w:name w:val="annotation subject"/>
    <w:basedOn w:val="Textodecomentrio"/>
    <w:next w:val="Textodecomentrio"/>
    <w:link w:val="AssuntodocomentrioChar"/>
    <w:uiPriority w:val="99"/>
    <w:semiHidden/>
    <w:unhideWhenUsed/>
    <w:rsid w:val="006D0856"/>
    <w:pPr>
      <w:spacing w:line="240" w:lineRule="auto"/>
    </w:pPr>
    <w:rPr>
      <w:b/>
      <w:bCs/>
    </w:rPr>
  </w:style>
  <w:style w:type="character" w:customStyle="1" w:styleId="AssuntodocomentrioChar">
    <w:name w:val="Assunto do comentário Char"/>
    <w:basedOn w:val="TextodecomentrioChar"/>
    <w:link w:val="Assuntodocomentrio"/>
    <w:uiPriority w:val="99"/>
    <w:semiHidden/>
    <w:rsid w:val="006D0856"/>
    <w:rPr>
      <w:b/>
      <w:bCs/>
    </w:rPr>
  </w:style>
  <w:style w:type="character" w:styleId="Nmerodelinha">
    <w:name w:val="line number"/>
    <w:basedOn w:val="Fontepargpadro"/>
    <w:uiPriority w:val="99"/>
    <w:semiHidden/>
    <w:unhideWhenUsed/>
    <w:rsid w:val="004D65D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chart" Target="charts/chart11.xml"/><Relationship Id="rId26" Type="http://schemas.openxmlformats.org/officeDocument/2006/relationships/chart" Target="charts/chart18.xml"/><Relationship Id="rId3" Type="http://schemas.openxmlformats.org/officeDocument/2006/relationships/settings" Target="settings.xml"/><Relationship Id="rId21" Type="http://schemas.openxmlformats.org/officeDocument/2006/relationships/chart" Target="charts/chart14.xml"/><Relationship Id="rId34" Type="http://schemas.openxmlformats.org/officeDocument/2006/relationships/fontTable" Target="fontTable.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0.xml"/><Relationship Id="rId25" Type="http://schemas.openxmlformats.org/officeDocument/2006/relationships/chart" Target="charts/chart17.xml"/><Relationship Id="rId33" Type="http://schemas.openxmlformats.org/officeDocument/2006/relationships/image" Target="media/image5.png"/><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chart" Target="charts/chart2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chart" Target="charts/chart5.xml"/><Relationship Id="rId24" Type="http://schemas.openxmlformats.org/officeDocument/2006/relationships/image" Target="media/image4.png"/><Relationship Id="rId32" Type="http://schemas.openxmlformats.org/officeDocument/2006/relationships/chart" Target="charts/chart24.xml"/><Relationship Id="rId5" Type="http://schemas.openxmlformats.org/officeDocument/2006/relationships/image" Target="media/image1.png"/><Relationship Id="rId15" Type="http://schemas.openxmlformats.org/officeDocument/2006/relationships/image" Target="media/image3.png"/><Relationship Id="rId23" Type="http://schemas.openxmlformats.org/officeDocument/2006/relationships/chart" Target="charts/chart16.xml"/><Relationship Id="rId28" Type="http://schemas.openxmlformats.org/officeDocument/2006/relationships/chart" Target="charts/chart20.xml"/><Relationship Id="rId10" Type="http://schemas.openxmlformats.org/officeDocument/2006/relationships/chart" Target="charts/chart4.xml"/><Relationship Id="rId19" Type="http://schemas.openxmlformats.org/officeDocument/2006/relationships/chart" Target="charts/chart12.xml"/><Relationship Id="rId31" Type="http://schemas.openxmlformats.org/officeDocument/2006/relationships/chart" Target="charts/chart23.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chart" Target="charts/chart15.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Jo&#227;o\Desktop\artigo%20alexandro\chuvoso%20chuvas%20dado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Jo&#227;o\Desktop\artigo%20alexandro\chuvoso%20chuvas%20dado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Jo&#227;o\Desktop\artigo%20alexandro\chuvoso%20chuvas%20dado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Jo&#227;o\Desktop\artigo%20alexandro\chuvoso%20chuvas%20dado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Jo&#227;o\Desktop\artigo%20alexandro\eto%20chuvoso.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Jo&#227;o\Desktop\artigo%20alexandro\eto%20chuvoso.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Jo&#227;o\Desktop\artigo%20alexandro\eto%20chuvoso.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Jo&#227;o\Desktop\artigo%20alexandro\eto%20chuvoso.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Jo&#227;o\Desktop\artigo%20alexandro\dados%20chuva%20reg.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Jo&#227;o\Desktop\artigo%20alexandro\dados%20chuva%20reg.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Jo&#227;o\Desktop\artigo%20alexandro\dados%20chuva%20reg.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Jo&#227;o\Desktop\artigo%20alexandro\dados%20chuva%20reg.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Jo&#227;o\Desktop\artigo%20alexandro\eto%20dados%20%20reg.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Jo&#227;o\Desktop\artigo%20alexandro\eto%20dados%20%20reg.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Jo&#227;o\Desktop\artigo%20alexandro\eto%20dados%20%20reg.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Jo&#227;o\Desktop\artigo%20alexandro\eto%20dados%20%20reg.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Jo&#227;o\Desktop\artigo%20alexandro\seco%20chuva%20dados1.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Jo&#227;o\Desktop\artigo%20alexandro\seco%20chuva%20dados1.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Jo&#227;o\Desktop\artigo%20alexandro\seco%20chuva%20dados1.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Jo&#227;o\Desktop\artigo%20alexandro\seco%20chuva%20dados1.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Jo&#227;o\Desktop\artigo%20alexandro\ETO%20SECO.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Jo&#227;o\Desktop\artigo%20alexandro\ETO%20SECO.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Jo&#227;o\Desktop\artigo%20alexandro\eto%20dados%20%20reg.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Jo&#227;o\Desktop\artigo%20alexandro\ETO%20SEC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t-BR"/>
  <c:chart>
    <c:autoTitleDeleted val="1"/>
    <c:plotArea>
      <c:layout>
        <c:manualLayout>
          <c:layoutTarget val="inner"/>
          <c:xMode val="edge"/>
          <c:yMode val="edge"/>
          <c:x val="0.19956933009367453"/>
          <c:y val="6.2972916687327102E-2"/>
          <c:w val="0.78567325809714594"/>
          <c:h val="0.57653575933076517"/>
        </c:manualLayout>
      </c:layout>
      <c:barChart>
        <c:barDir val="col"/>
        <c:grouping val="clustered"/>
        <c:ser>
          <c:idx val="0"/>
          <c:order val="0"/>
          <c:tx>
            <c:v>Barreiros</c:v>
          </c:tx>
          <c:spPr>
            <a:ln>
              <a:solidFill>
                <a:prstClr val="black"/>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mata'!$B$2:$M$2</c:f>
              <c:numCache>
                <c:formatCode>General</c:formatCode>
                <c:ptCount val="12"/>
                <c:pt idx="0">
                  <c:v>83</c:v>
                </c:pt>
                <c:pt idx="1">
                  <c:v>126</c:v>
                </c:pt>
                <c:pt idx="2">
                  <c:v>224</c:v>
                </c:pt>
                <c:pt idx="3">
                  <c:v>295</c:v>
                </c:pt>
                <c:pt idx="4">
                  <c:v>298</c:v>
                </c:pt>
                <c:pt idx="5">
                  <c:v>308</c:v>
                </c:pt>
                <c:pt idx="6">
                  <c:v>360</c:v>
                </c:pt>
                <c:pt idx="7">
                  <c:v>187</c:v>
                </c:pt>
                <c:pt idx="8">
                  <c:v>122</c:v>
                </c:pt>
                <c:pt idx="9">
                  <c:v>65</c:v>
                </c:pt>
                <c:pt idx="10">
                  <c:v>57</c:v>
                </c:pt>
                <c:pt idx="11">
                  <c:v>72</c:v>
                </c:pt>
              </c:numCache>
            </c:numRef>
          </c:val>
        </c:ser>
        <c:ser>
          <c:idx val="1"/>
          <c:order val="1"/>
          <c:tx>
            <c:v>Cortês</c:v>
          </c:tx>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mata'!$B$3:$M$3</c:f>
              <c:numCache>
                <c:formatCode>General</c:formatCode>
                <c:ptCount val="12"/>
                <c:pt idx="0">
                  <c:v>83</c:v>
                </c:pt>
                <c:pt idx="1">
                  <c:v>101</c:v>
                </c:pt>
                <c:pt idx="2">
                  <c:v>175</c:v>
                </c:pt>
                <c:pt idx="3">
                  <c:v>240</c:v>
                </c:pt>
                <c:pt idx="4">
                  <c:v>275</c:v>
                </c:pt>
                <c:pt idx="5">
                  <c:v>294</c:v>
                </c:pt>
                <c:pt idx="6">
                  <c:v>350</c:v>
                </c:pt>
                <c:pt idx="7">
                  <c:v>170</c:v>
                </c:pt>
                <c:pt idx="8">
                  <c:v>112</c:v>
                </c:pt>
                <c:pt idx="9">
                  <c:v>48</c:v>
                </c:pt>
                <c:pt idx="10">
                  <c:v>42</c:v>
                </c:pt>
                <c:pt idx="11">
                  <c:v>63</c:v>
                </c:pt>
              </c:numCache>
            </c:numRef>
          </c:val>
        </c:ser>
        <c:ser>
          <c:idx val="2"/>
          <c:order val="2"/>
          <c:tx>
            <c:v>Escada</c:v>
          </c:tx>
          <c:spPr>
            <a:ln>
              <a:solidFill>
                <a:prstClr val="black"/>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mata'!$B$4:$M$4</c:f>
              <c:numCache>
                <c:formatCode>General</c:formatCode>
                <c:ptCount val="12"/>
                <c:pt idx="0">
                  <c:v>74</c:v>
                </c:pt>
                <c:pt idx="1">
                  <c:v>106</c:v>
                </c:pt>
                <c:pt idx="2">
                  <c:v>188</c:v>
                </c:pt>
                <c:pt idx="3">
                  <c:v>171</c:v>
                </c:pt>
                <c:pt idx="4">
                  <c:v>422</c:v>
                </c:pt>
                <c:pt idx="5">
                  <c:v>407</c:v>
                </c:pt>
                <c:pt idx="6">
                  <c:v>300</c:v>
                </c:pt>
                <c:pt idx="7">
                  <c:v>88</c:v>
                </c:pt>
                <c:pt idx="8">
                  <c:v>292</c:v>
                </c:pt>
                <c:pt idx="9">
                  <c:v>81</c:v>
                </c:pt>
                <c:pt idx="10">
                  <c:v>81</c:v>
                </c:pt>
                <c:pt idx="11">
                  <c:v>53</c:v>
                </c:pt>
              </c:numCache>
            </c:numRef>
          </c:val>
        </c:ser>
        <c:ser>
          <c:idx val="3"/>
          <c:order val="3"/>
          <c:tx>
            <c:v>Gameleira</c:v>
          </c:tx>
          <c:spPr>
            <a:ln>
              <a:solidFill>
                <a:prstClr val="black"/>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mata'!$B$5:$M$5</c:f>
              <c:numCache>
                <c:formatCode>General</c:formatCode>
                <c:ptCount val="12"/>
                <c:pt idx="0">
                  <c:v>93</c:v>
                </c:pt>
                <c:pt idx="1">
                  <c:v>134</c:v>
                </c:pt>
                <c:pt idx="2">
                  <c:v>217</c:v>
                </c:pt>
                <c:pt idx="3">
                  <c:v>436</c:v>
                </c:pt>
                <c:pt idx="4">
                  <c:v>435</c:v>
                </c:pt>
                <c:pt idx="5">
                  <c:v>86</c:v>
                </c:pt>
                <c:pt idx="6">
                  <c:v>500</c:v>
                </c:pt>
                <c:pt idx="7">
                  <c:v>195</c:v>
                </c:pt>
                <c:pt idx="8">
                  <c:v>339</c:v>
                </c:pt>
                <c:pt idx="9">
                  <c:v>81</c:v>
                </c:pt>
                <c:pt idx="10">
                  <c:v>51</c:v>
                </c:pt>
                <c:pt idx="11">
                  <c:v>110</c:v>
                </c:pt>
              </c:numCache>
            </c:numRef>
          </c:val>
        </c:ser>
        <c:ser>
          <c:idx val="4"/>
          <c:order val="4"/>
          <c:tx>
            <c:v>Palmares</c:v>
          </c:tx>
          <c:spPr>
            <a:ln>
              <a:solidFill>
                <a:prstClr val="black"/>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mata'!$B$6:$M$6</c:f>
              <c:numCache>
                <c:formatCode>General</c:formatCode>
                <c:ptCount val="12"/>
                <c:pt idx="0">
                  <c:v>38</c:v>
                </c:pt>
                <c:pt idx="1">
                  <c:v>39</c:v>
                </c:pt>
                <c:pt idx="2">
                  <c:v>88</c:v>
                </c:pt>
                <c:pt idx="3">
                  <c:v>142</c:v>
                </c:pt>
                <c:pt idx="4">
                  <c:v>324</c:v>
                </c:pt>
                <c:pt idx="5">
                  <c:v>242</c:v>
                </c:pt>
                <c:pt idx="6">
                  <c:v>267</c:v>
                </c:pt>
                <c:pt idx="7">
                  <c:v>89</c:v>
                </c:pt>
                <c:pt idx="8">
                  <c:v>188</c:v>
                </c:pt>
                <c:pt idx="9">
                  <c:v>51</c:v>
                </c:pt>
                <c:pt idx="10">
                  <c:v>29</c:v>
                </c:pt>
                <c:pt idx="11">
                  <c:v>33</c:v>
                </c:pt>
              </c:numCache>
            </c:numRef>
          </c:val>
        </c:ser>
        <c:ser>
          <c:idx val="5"/>
          <c:order val="5"/>
          <c:tx>
            <c:v>Primavera</c:v>
          </c:tx>
          <c:spPr>
            <a:ln>
              <a:solidFill>
                <a:prstClr val="black"/>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mata'!$B$7:$M$7</c:f>
              <c:numCache>
                <c:formatCode>General</c:formatCode>
                <c:ptCount val="12"/>
                <c:pt idx="0">
                  <c:v>94</c:v>
                </c:pt>
                <c:pt idx="1">
                  <c:v>141</c:v>
                </c:pt>
                <c:pt idx="2">
                  <c:v>204</c:v>
                </c:pt>
                <c:pt idx="3">
                  <c:v>480</c:v>
                </c:pt>
                <c:pt idx="4">
                  <c:v>299</c:v>
                </c:pt>
                <c:pt idx="5">
                  <c:v>117</c:v>
                </c:pt>
                <c:pt idx="6">
                  <c:v>488</c:v>
                </c:pt>
                <c:pt idx="7">
                  <c:v>177</c:v>
                </c:pt>
                <c:pt idx="8">
                  <c:v>211</c:v>
                </c:pt>
                <c:pt idx="9">
                  <c:v>62</c:v>
                </c:pt>
                <c:pt idx="10">
                  <c:v>32</c:v>
                </c:pt>
                <c:pt idx="11">
                  <c:v>70</c:v>
                </c:pt>
              </c:numCache>
            </c:numRef>
          </c:val>
        </c:ser>
        <c:ser>
          <c:idx val="6"/>
          <c:order val="6"/>
          <c:tx>
            <c:v>Rio Formoso</c:v>
          </c:tx>
          <c:spPr>
            <a:ln>
              <a:solidFill>
                <a:prstClr val="black"/>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mata'!$B$8:$M$8</c:f>
              <c:numCache>
                <c:formatCode>General</c:formatCode>
                <c:ptCount val="12"/>
                <c:pt idx="0">
                  <c:v>106</c:v>
                </c:pt>
                <c:pt idx="1">
                  <c:v>135</c:v>
                </c:pt>
                <c:pt idx="2">
                  <c:v>130</c:v>
                </c:pt>
                <c:pt idx="3">
                  <c:v>158</c:v>
                </c:pt>
                <c:pt idx="4">
                  <c:v>538</c:v>
                </c:pt>
                <c:pt idx="5">
                  <c:v>567</c:v>
                </c:pt>
                <c:pt idx="6">
                  <c:v>381</c:v>
                </c:pt>
                <c:pt idx="7">
                  <c:v>209</c:v>
                </c:pt>
                <c:pt idx="8">
                  <c:v>264</c:v>
                </c:pt>
                <c:pt idx="9">
                  <c:v>74</c:v>
                </c:pt>
                <c:pt idx="10">
                  <c:v>42</c:v>
                </c:pt>
                <c:pt idx="11">
                  <c:v>64</c:v>
                </c:pt>
              </c:numCache>
            </c:numRef>
          </c:val>
        </c:ser>
        <c:ser>
          <c:idx val="7"/>
          <c:order val="7"/>
          <c:tx>
            <c:v>Buenos Aires</c:v>
          </c:tx>
          <c:spPr>
            <a:ln>
              <a:solidFill>
                <a:prstClr val="black"/>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mata'!$B$9:$M$9</c:f>
              <c:numCache>
                <c:formatCode>General</c:formatCode>
                <c:ptCount val="12"/>
                <c:pt idx="0">
                  <c:v>40</c:v>
                </c:pt>
                <c:pt idx="1">
                  <c:v>54</c:v>
                </c:pt>
                <c:pt idx="2">
                  <c:v>78</c:v>
                </c:pt>
                <c:pt idx="3">
                  <c:v>196</c:v>
                </c:pt>
                <c:pt idx="4">
                  <c:v>183</c:v>
                </c:pt>
                <c:pt idx="5">
                  <c:v>187</c:v>
                </c:pt>
                <c:pt idx="6">
                  <c:v>336</c:v>
                </c:pt>
                <c:pt idx="7">
                  <c:v>82</c:v>
                </c:pt>
                <c:pt idx="8">
                  <c:v>74</c:v>
                </c:pt>
                <c:pt idx="9">
                  <c:v>20</c:v>
                </c:pt>
                <c:pt idx="10">
                  <c:v>19</c:v>
                </c:pt>
                <c:pt idx="11">
                  <c:v>49</c:v>
                </c:pt>
              </c:numCache>
            </c:numRef>
          </c:val>
        </c:ser>
        <c:ser>
          <c:idx val="8"/>
          <c:order val="8"/>
          <c:tx>
            <c:v>Carpina</c:v>
          </c:tx>
          <c:spPr>
            <a:ln>
              <a:solidFill>
                <a:prstClr val="black"/>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mata'!$B$10:$M$10</c:f>
              <c:numCache>
                <c:formatCode>General</c:formatCode>
                <c:ptCount val="12"/>
                <c:pt idx="0">
                  <c:v>49</c:v>
                </c:pt>
                <c:pt idx="1">
                  <c:v>67</c:v>
                </c:pt>
                <c:pt idx="2">
                  <c:v>82</c:v>
                </c:pt>
                <c:pt idx="3">
                  <c:v>126</c:v>
                </c:pt>
                <c:pt idx="4">
                  <c:v>202</c:v>
                </c:pt>
                <c:pt idx="5">
                  <c:v>337</c:v>
                </c:pt>
                <c:pt idx="6">
                  <c:v>194</c:v>
                </c:pt>
                <c:pt idx="7">
                  <c:v>88</c:v>
                </c:pt>
                <c:pt idx="8">
                  <c:v>48</c:v>
                </c:pt>
                <c:pt idx="9">
                  <c:v>25</c:v>
                </c:pt>
                <c:pt idx="10">
                  <c:v>10</c:v>
                </c:pt>
                <c:pt idx="11">
                  <c:v>31</c:v>
                </c:pt>
              </c:numCache>
            </c:numRef>
          </c:val>
        </c:ser>
        <c:ser>
          <c:idx val="9"/>
          <c:order val="9"/>
          <c:tx>
            <c:v>Matari</c:v>
          </c:tx>
          <c:spPr>
            <a:ln>
              <a:solidFill>
                <a:prstClr val="black"/>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mata'!$B$11:$M$11</c:f>
              <c:numCache>
                <c:formatCode>General</c:formatCode>
                <c:ptCount val="12"/>
                <c:pt idx="0">
                  <c:v>32</c:v>
                </c:pt>
                <c:pt idx="1">
                  <c:v>97</c:v>
                </c:pt>
                <c:pt idx="2">
                  <c:v>119</c:v>
                </c:pt>
                <c:pt idx="3">
                  <c:v>284</c:v>
                </c:pt>
                <c:pt idx="4">
                  <c:v>279</c:v>
                </c:pt>
                <c:pt idx="5">
                  <c:v>327</c:v>
                </c:pt>
                <c:pt idx="6">
                  <c:v>154</c:v>
                </c:pt>
                <c:pt idx="7">
                  <c:v>80</c:v>
                </c:pt>
                <c:pt idx="8">
                  <c:v>48</c:v>
                </c:pt>
                <c:pt idx="9">
                  <c:v>28</c:v>
                </c:pt>
                <c:pt idx="10">
                  <c:v>59</c:v>
                </c:pt>
                <c:pt idx="11">
                  <c:v>34</c:v>
                </c:pt>
              </c:numCache>
            </c:numRef>
          </c:val>
        </c:ser>
        <c:ser>
          <c:idx val="10"/>
          <c:order val="10"/>
          <c:tx>
            <c:v>S. L. Mata</c:v>
          </c:tx>
          <c:spPr>
            <a:ln>
              <a:solidFill>
                <a:prstClr val="black"/>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'regiao metropolitana'!$B$2:$M$2</c:f>
              <c:numCache>
                <c:formatCode>General</c:formatCode>
                <c:ptCount val="12"/>
                <c:pt idx="0">
                  <c:v>36</c:v>
                </c:pt>
                <c:pt idx="1">
                  <c:v>60</c:v>
                </c:pt>
                <c:pt idx="2">
                  <c:v>68</c:v>
                </c:pt>
                <c:pt idx="3">
                  <c:v>186</c:v>
                </c:pt>
                <c:pt idx="4">
                  <c:v>399</c:v>
                </c:pt>
                <c:pt idx="5">
                  <c:v>284</c:v>
                </c:pt>
                <c:pt idx="6">
                  <c:v>63</c:v>
                </c:pt>
                <c:pt idx="7">
                  <c:v>94</c:v>
                </c:pt>
                <c:pt idx="8">
                  <c:v>145</c:v>
                </c:pt>
                <c:pt idx="9">
                  <c:v>50</c:v>
                </c:pt>
                <c:pt idx="10">
                  <c:v>63</c:v>
                </c:pt>
                <c:pt idx="11">
                  <c:v>59</c:v>
                </c:pt>
              </c:numCache>
            </c:numRef>
          </c:val>
        </c:ser>
        <c:ser>
          <c:idx val="11"/>
          <c:order val="11"/>
          <c:tx>
            <c:v>V. de Sto. Antão</c:v>
          </c:tx>
          <c:spPr>
            <a:ln>
              <a:solidFill>
                <a:prstClr val="black"/>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'regiao metropolitana'!$B$3:$M$3</c:f>
              <c:numCache>
                <c:formatCode>General</c:formatCode>
                <c:ptCount val="12"/>
                <c:pt idx="0">
                  <c:v>70</c:v>
                </c:pt>
                <c:pt idx="1">
                  <c:v>93</c:v>
                </c:pt>
                <c:pt idx="2">
                  <c:v>67</c:v>
                </c:pt>
                <c:pt idx="3">
                  <c:v>143</c:v>
                </c:pt>
                <c:pt idx="4">
                  <c:v>236</c:v>
                </c:pt>
                <c:pt idx="5">
                  <c:v>252</c:v>
                </c:pt>
                <c:pt idx="6">
                  <c:v>225</c:v>
                </c:pt>
                <c:pt idx="7">
                  <c:v>109</c:v>
                </c:pt>
                <c:pt idx="8">
                  <c:v>178</c:v>
                </c:pt>
                <c:pt idx="9">
                  <c:v>43</c:v>
                </c:pt>
                <c:pt idx="10">
                  <c:v>32</c:v>
                </c:pt>
                <c:pt idx="11">
                  <c:v>52</c:v>
                </c:pt>
              </c:numCache>
            </c:numRef>
          </c:val>
        </c:ser>
        <c:axId val="135948544"/>
        <c:axId val="136046464"/>
      </c:barChart>
      <c:catAx>
        <c:axId val="135948544"/>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layout>
            <c:manualLayout>
              <c:xMode val="edge"/>
              <c:yMode val="edge"/>
              <c:x val="0.46244190945636426"/>
              <c:y val="0.76931694985138632"/>
            </c:manualLayout>
          </c:layout>
        </c:title>
        <c:majorTickMark val="none"/>
        <c:tickLblPos val="nextTo"/>
        <c:txPr>
          <a:bodyPr rot="-5400000" vert="horz"/>
          <a:lstStyle/>
          <a:p>
            <a:pPr>
              <a:defRPr sz="800">
                <a:latin typeface="Times New Roman" pitchFamily="18" charset="0"/>
                <a:cs typeface="Times New Roman" pitchFamily="18" charset="0"/>
              </a:defRPr>
            </a:pPr>
            <a:endParaRPr lang="pt-BR"/>
          </a:p>
        </c:txPr>
        <c:crossAx val="136046464"/>
        <c:crosses val="autoZero"/>
        <c:auto val="1"/>
        <c:lblAlgn val="ctr"/>
        <c:lblOffset val="100"/>
      </c:catAx>
      <c:valAx>
        <c:axId val="136046464"/>
        <c:scaling>
          <c:orientation val="minMax"/>
        </c:scaling>
        <c:axPos val="l"/>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Rainfall (mm)</a:t>
                </a:r>
              </a:p>
            </c:rich>
          </c:tx>
          <c:layout>
            <c:manualLayout>
              <c:xMode val="edge"/>
              <c:yMode val="edge"/>
              <c:x val="0"/>
              <c:y val="0.16091382195102241"/>
            </c:manualLayout>
          </c:layout>
        </c:title>
        <c:numFmt formatCode="General" sourceLinked="1"/>
        <c:tickLblPos val="nextTo"/>
        <c:txPr>
          <a:bodyPr/>
          <a:lstStyle/>
          <a:p>
            <a:pPr>
              <a:defRPr sz="800">
                <a:latin typeface="Times New Roman" pitchFamily="18" charset="0"/>
                <a:cs typeface="Times New Roman" pitchFamily="18" charset="0"/>
              </a:defRPr>
            </a:pPr>
            <a:endParaRPr lang="pt-BR"/>
          </a:p>
        </c:txPr>
        <c:crossAx val="135948544"/>
        <c:crosses val="autoZero"/>
        <c:crossBetween val="between"/>
      </c:valAx>
    </c:plotArea>
    <c:legend>
      <c:legendPos val="r"/>
      <c:layout>
        <c:manualLayout>
          <c:xMode val="edge"/>
          <c:yMode val="edge"/>
          <c:x val="2.5579742196914852E-2"/>
          <c:y val="0.82961993336019157"/>
          <c:w val="0.95163181767895311"/>
          <c:h val="0.17038006663981517"/>
        </c:manualLayout>
      </c:layout>
      <c:txPr>
        <a:bodyPr/>
        <a:lstStyle/>
        <a:p>
          <a:pPr>
            <a:defRPr sz="600">
              <a:latin typeface="Times New Roman" pitchFamily="18" charset="0"/>
              <a:cs typeface="Times New Roman" pitchFamily="18" charset="0"/>
            </a:defRPr>
          </a:pPr>
          <a:endParaRPr lang="pt-BR"/>
        </a:p>
      </c:txPr>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pt-BR"/>
  <c:chart>
    <c:autoTitleDeleted val="1"/>
    <c:plotArea>
      <c:layout>
        <c:manualLayout>
          <c:layoutTarget val="inner"/>
          <c:xMode val="edge"/>
          <c:yMode val="edge"/>
          <c:x val="0.14534441381225374"/>
          <c:y val="3.8692424242424243E-2"/>
          <c:w val="0.83063924314246662"/>
          <c:h val="0.59612020202020199"/>
        </c:manualLayout>
      </c:layout>
      <c:barChart>
        <c:barDir val="col"/>
        <c:grouping val="clustered"/>
        <c:ser>
          <c:idx val="0"/>
          <c:order val="0"/>
          <c:tx>
            <c:v>Águas Belas</c:v>
          </c:tx>
          <c:spPr>
            <a:ln>
              <a:solidFill>
                <a:prstClr val="black"/>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agreste!$B$2:$M$2</c:f>
              <c:numCache>
                <c:formatCode>General</c:formatCode>
                <c:ptCount val="12"/>
                <c:pt idx="0">
                  <c:v>52</c:v>
                </c:pt>
                <c:pt idx="1">
                  <c:v>51</c:v>
                </c:pt>
                <c:pt idx="2">
                  <c:v>101</c:v>
                </c:pt>
                <c:pt idx="3">
                  <c:v>112</c:v>
                </c:pt>
                <c:pt idx="4">
                  <c:v>136</c:v>
                </c:pt>
                <c:pt idx="5">
                  <c:v>142</c:v>
                </c:pt>
                <c:pt idx="6">
                  <c:v>109</c:v>
                </c:pt>
                <c:pt idx="7">
                  <c:v>52</c:v>
                </c:pt>
                <c:pt idx="8">
                  <c:v>21</c:v>
                </c:pt>
                <c:pt idx="9">
                  <c:v>15</c:v>
                </c:pt>
                <c:pt idx="10">
                  <c:v>36</c:v>
                </c:pt>
                <c:pt idx="11">
                  <c:v>59</c:v>
                </c:pt>
              </c:numCache>
            </c:numRef>
          </c:val>
        </c:ser>
        <c:ser>
          <c:idx val="1"/>
          <c:order val="1"/>
          <c:tx>
            <c:v>Alogoinha</c:v>
          </c:tx>
          <c:spPr>
            <a:ln>
              <a:solidFill>
                <a:prstClr val="black"/>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agreste!$B$3:$M$3</c:f>
              <c:numCache>
                <c:formatCode>General</c:formatCode>
                <c:ptCount val="12"/>
                <c:pt idx="0">
                  <c:v>36</c:v>
                </c:pt>
                <c:pt idx="1">
                  <c:v>92</c:v>
                </c:pt>
                <c:pt idx="2">
                  <c:v>174</c:v>
                </c:pt>
                <c:pt idx="3">
                  <c:v>224</c:v>
                </c:pt>
                <c:pt idx="4">
                  <c:v>69</c:v>
                </c:pt>
                <c:pt idx="5">
                  <c:v>76</c:v>
                </c:pt>
                <c:pt idx="6">
                  <c:v>54</c:v>
                </c:pt>
                <c:pt idx="7">
                  <c:v>12</c:v>
                </c:pt>
                <c:pt idx="8">
                  <c:v>10</c:v>
                </c:pt>
                <c:pt idx="9">
                  <c:v>17</c:v>
                </c:pt>
                <c:pt idx="10">
                  <c:v>23</c:v>
                </c:pt>
                <c:pt idx="11">
                  <c:v>16</c:v>
                </c:pt>
              </c:numCache>
            </c:numRef>
          </c:val>
        </c:ser>
        <c:ser>
          <c:idx val="2"/>
          <c:order val="2"/>
          <c:tx>
            <c:v>Bezerros</c:v>
          </c:tx>
          <c:spPr>
            <a:ln>
              <a:solidFill>
                <a:prstClr val="black"/>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agreste!$B$4:$M$4</c:f>
              <c:numCache>
                <c:formatCode>General</c:formatCode>
                <c:ptCount val="12"/>
                <c:pt idx="0">
                  <c:v>34</c:v>
                </c:pt>
                <c:pt idx="1">
                  <c:v>69</c:v>
                </c:pt>
                <c:pt idx="2">
                  <c:v>125</c:v>
                </c:pt>
                <c:pt idx="3">
                  <c:v>229</c:v>
                </c:pt>
                <c:pt idx="4">
                  <c:v>124</c:v>
                </c:pt>
                <c:pt idx="5">
                  <c:v>75</c:v>
                </c:pt>
                <c:pt idx="6">
                  <c:v>106</c:v>
                </c:pt>
                <c:pt idx="7">
                  <c:v>48</c:v>
                </c:pt>
                <c:pt idx="8">
                  <c:v>19</c:v>
                </c:pt>
                <c:pt idx="9">
                  <c:v>22</c:v>
                </c:pt>
                <c:pt idx="10">
                  <c:v>10</c:v>
                </c:pt>
                <c:pt idx="11">
                  <c:v>38</c:v>
                </c:pt>
              </c:numCache>
            </c:numRef>
          </c:val>
        </c:ser>
        <c:ser>
          <c:idx val="3"/>
          <c:order val="3"/>
          <c:tx>
            <c:v>Gravatá</c:v>
          </c:tx>
          <c:spPr>
            <a:ln>
              <a:solidFill>
                <a:prstClr val="black"/>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agreste!$B$5:$M$5</c:f>
              <c:numCache>
                <c:formatCode>General</c:formatCode>
                <c:ptCount val="12"/>
                <c:pt idx="0">
                  <c:v>22</c:v>
                </c:pt>
                <c:pt idx="1">
                  <c:v>18</c:v>
                </c:pt>
                <c:pt idx="2">
                  <c:v>12</c:v>
                </c:pt>
                <c:pt idx="3">
                  <c:v>33</c:v>
                </c:pt>
                <c:pt idx="4">
                  <c:v>58</c:v>
                </c:pt>
                <c:pt idx="5">
                  <c:v>73</c:v>
                </c:pt>
                <c:pt idx="6">
                  <c:v>115</c:v>
                </c:pt>
                <c:pt idx="7">
                  <c:v>22</c:v>
                </c:pt>
                <c:pt idx="8">
                  <c:v>138</c:v>
                </c:pt>
                <c:pt idx="9">
                  <c:v>93</c:v>
                </c:pt>
                <c:pt idx="10">
                  <c:v>37</c:v>
                </c:pt>
                <c:pt idx="11">
                  <c:v>104</c:v>
                </c:pt>
              </c:numCache>
            </c:numRef>
          </c:val>
        </c:ser>
        <c:ser>
          <c:idx val="4"/>
          <c:order val="4"/>
          <c:tx>
            <c:v>Pesqueira</c:v>
          </c:tx>
          <c:spPr>
            <a:ln>
              <a:solidFill>
                <a:prstClr val="black"/>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agreste!$B$6:$M$6</c:f>
              <c:numCache>
                <c:formatCode>General</c:formatCode>
                <c:ptCount val="12"/>
                <c:pt idx="0">
                  <c:v>47</c:v>
                </c:pt>
                <c:pt idx="1">
                  <c:v>84</c:v>
                </c:pt>
                <c:pt idx="2">
                  <c:v>193</c:v>
                </c:pt>
                <c:pt idx="3">
                  <c:v>197</c:v>
                </c:pt>
                <c:pt idx="4">
                  <c:v>115</c:v>
                </c:pt>
                <c:pt idx="5">
                  <c:v>89</c:v>
                </c:pt>
                <c:pt idx="6">
                  <c:v>84</c:v>
                </c:pt>
                <c:pt idx="7">
                  <c:v>49</c:v>
                </c:pt>
                <c:pt idx="8">
                  <c:v>22</c:v>
                </c:pt>
                <c:pt idx="9">
                  <c:v>25</c:v>
                </c:pt>
                <c:pt idx="10">
                  <c:v>29</c:v>
                </c:pt>
                <c:pt idx="11">
                  <c:v>31</c:v>
                </c:pt>
              </c:numCache>
            </c:numRef>
          </c:val>
        </c:ser>
        <c:ser>
          <c:idx val="5"/>
          <c:order val="5"/>
          <c:tx>
            <c:v>Cimbres</c:v>
          </c:tx>
          <c:spPr>
            <a:ln>
              <a:solidFill>
                <a:prstClr val="black"/>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agreste!$B$7:$M$7</c:f>
              <c:numCache>
                <c:formatCode>General</c:formatCode>
                <c:ptCount val="12"/>
                <c:pt idx="0">
                  <c:v>60</c:v>
                </c:pt>
                <c:pt idx="1">
                  <c:v>120</c:v>
                </c:pt>
                <c:pt idx="2">
                  <c:v>220</c:v>
                </c:pt>
                <c:pt idx="3">
                  <c:v>143</c:v>
                </c:pt>
                <c:pt idx="4">
                  <c:v>23</c:v>
                </c:pt>
                <c:pt idx="5">
                  <c:v>120</c:v>
                </c:pt>
                <c:pt idx="6">
                  <c:v>130</c:v>
                </c:pt>
                <c:pt idx="7">
                  <c:v>40</c:v>
                </c:pt>
                <c:pt idx="8">
                  <c:v>154</c:v>
                </c:pt>
                <c:pt idx="9">
                  <c:v>11</c:v>
                </c:pt>
                <c:pt idx="10">
                  <c:v>38</c:v>
                </c:pt>
                <c:pt idx="11">
                  <c:v>32</c:v>
                </c:pt>
              </c:numCache>
            </c:numRef>
          </c:val>
        </c:ser>
        <c:ser>
          <c:idx val="6"/>
          <c:order val="6"/>
          <c:tx>
            <c:v>São Caetano</c:v>
          </c:tx>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agreste!$B$8:$M$8</c:f>
              <c:numCache>
                <c:formatCode>General</c:formatCode>
                <c:ptCount val="12"/>
                <c:pt idx="0">
                  <c:v>38</c:v>
                </c:pt>
                <c:pt idx="1">
                  <c:v>93</c:v>
                </c:pt>
                <c:pt idx="2">
                  <c:v>13</c:v>
                </c:pt>
                <c:pt idx="3">
                  <c:v>124</c:v>
                </c:pt>
                <c:pt idx="4">
                  <c:v>56</c:v>
                </c:pt>
                <c:pt idx="5">
                  <c:v>67</c:v>
                </c:pt>
                <c:pt idx="6">
                  <c:v>77</c:v>
                </c:pt>
                <c:pt idx="7">
                  <c:v>31</c:v>
                </c:pt>
                <c:pt idx="8">
                  <c:v>113</c:v>
                </c:pt>
                <c:pt idx="9">
                  <c:v>8</c:v>
                </c:pt>
                <c:pt idx="10">
                  <c:v>4</c:v>
                </c:pt>
                <c:pt idx="11">
                  <c:v>31</c:v>
                </c:pt>
              </c:numCache>
            </c:numRef>
          </c:val>
        </c:ser>
        <c:ser>
          <c:idx val="7"/>
          <c:order val="7"/>
          <c:tx>
            <c:v>S. B. do Una</c:v>
          </c:tx>
          <c:spPr>
            <a:ln>
              <a:solidFill>
                <a:prstClr val="black"/>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agreste!$B$9:$M$9</c:f>
              <c:numCache>
                <c:formatCode>General</c:formatCode>
                <c:ptCount val="12"/>
                <c:pt idx="0">
                  <c:v>59</c:v>
                </c:pt>
                <c:pt idx="1">
                  <c:v>71</c:v>
                </c:pt>
                <c:pt idx="2">
                  <c:v>20</c:v>
                </c:pt>
                <c:pt idx="3">
                  <c:v>141</c:v>
                </c:pt>
                <c:pt idx="4">
                  <c:v>104</c:v>
                </c:pt>
                <c:pt idx="5">
                  <c:v>82</c:v>
                </c:pt>
                <c:pt idx="6">
                  <c:v>74</c:v>
                </c:pt>
                <c:pt idx="7">
                  <c:v>39</c:v>
                </c:pt>
                <c:pt idx="8">
                  <c:v>155</c:v>
                </c:pt>
                <c:pt idx="9">
                  <c:v>26</c:v>
                </c:pt>
                <c:pt idx="10">
                  <c:v>35</c:v>
                </c:pt>
                <c:pt idx="11">
                  <c:v>33</c:v>
                </c:pt>
              </c:numCache>
            </c:numRef>
          </c:val>
        </c:ser>
        <c:ser>
          <c:idx val="8"/>
          <c:order val="8"/>
          <c:tx>
            <c:v>Correntes</c:v>
          </c:tx>
          <c:spPr>
            <a:ln>
              <a:solidFill>
                <a:prstClr val="black"/>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agreste!$B$10:$M$10</c:f>
              <c:numCache>
                <c:formatCode>General</c:formatCode>
                <c:ptCount val="12"/>
                <c:pt idx="0">
                  <c:v>54</c:v>
                </c:pt>
                <c:pt idx="1">
                  <c:v>52</c:v>
                </c:pt>
                <c:pt idx="2">
                  <c:v>176</c:v>
                </c:pt>
                <c:pt idx="3">
                  <c:v>161</c:v>
                </c:pt>
                <c:pt idx="4">
                  <c:v>176</c:v>
                </c:pt>
                <c:pt idx="5">
                  <c:v>353</c:v>
                </c:pt>
                <c:pt idx="6">
                  <c:v>324</c:v>
                </c:pt>
                <c:pt idx="7">
                  <c:v>137</c:v>
                </c:pt>
                <c:pt idx="8">
                  <c:v>75</c:v>
                </c:pt>
                <c:pt idx="9">
                  <c:v>46</c:v>
                </c:pt>
                <c:pt idx="10">
                  <c:v>24</c:v>
                </c:pt>
                <c:pt idx="11">
                  <c:v>32</c:v>
                </c:pt>
              </c:numCache>
            </c:numRef>
          </c:val>
        </c:ser>
        <c:ser>
          <c:idx val="9"/>
          <c:order val="9"/>
          <c:tx>
            <c:v>Garanhuns</c:v>
          </c:tx>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agreste!$B$11:$M$11</c:f>
              <c:numCache>
                <c:formatCode>General</c:formatCode>
                <c:ptCount val="12"/>
                <c:pt idx="0">
                  <c:v>50</c:v>
                </c:pt>
                <c:pt idx="1">
                  <c:v>62</c:v>
                </c:pt>
                <c:pt idx="2">
                  <c:v>132</c:v>
                </c:pt>
                <c:pt idx="3">
                  <c:v>110</c:v>
                </c:pt>
                <c:pt idx="4">
                  <c:v>260</c:v>
                </c:pt>
                <c:pt idx="5">
                  <c:v>193</c:v>
                </c:pt>
                <c:pt idx="6">
                  <c:v>131</c:v>
                </c:pt>
                <c:pt idx="7">
                  <c:v>83</c:v>
                </c:pt>
                <c:pt idx="8">
                  <c:v>45</c:v>
                </c:pt>
                <c:pt idx="9">
                  <c:v>12</c:v>
                </c:pt>
                <c:pt idx="10">
                  <c:v>27</c:v>
                </c:pt>
                <c:pt idx="11">
                  <c:v>43</c:v>
                </c:pt>
              </c:numCache>
            </c:numRef>
          </c:val>
        </c:ser>
        <c:ser>
          <c:idx val="10"/>
          <c:order val="10"/>
          <c:tx>
            <c:v>S. J. Monte</c:v>
          </c:tx>
          <c:spPr>
            <a:ln>
              <a:solidFill>
                <a:prstClr val="black"/>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agreste!$B$12:$M$12</c:f>
              <c:numCache>
                <c:formatCode>General</c:formatCode>
                <c:ptCount val="12"/>
                <c:pt idx="0">
                  <c:v>201</c:v>
                </c:pt>
                <c:pt idx="1">
                  <c:v>184</c:v>
                </c:pt>
                <c:pt idx="2">
                  <c:v>144</c:v>
                </c:pt>
                <c:pt idx="3">
                  <c:v>217</c:v>
                </c:pt>
                <c:pt idx="4">
                  <c:v>400</c:v>
                </c:pt>
                <c:pt idx="5">
                  <c:v>458</c:v>
                </c:pt>
                <c:pt idx="6">
                  <c:v>387</c:v>
                </c:pt>
                <c:pt idx="7">
                  <c:v>214</c:v>
                </c:pt>
                <c:pt idx="8">
                  <c:v>371</c:v>
                </c:pt>
                <c:pt idx="9">
                  <c:v>60</c:v>
                </c:pt>
                <c:pt idx="10">
                  <c:v>59</c:v>
                </c:pt>
                <c:pt idx="11">
                  <c:v>107</c:v>
                </c:pt>
              </c:numCache>
            </c:numRef>
          </c:val>
        </c:ser>
        <c:ser>
          <c:idx val="11"/>
          <c:order val="11"/>
          <c:tx>
            <c:v>Bom Jardim</c:v>
          </c:tx>
          <c:spPr>
            <a:solidFill>
              <a:schemeClr val="tx1"/>
            </a:solidFill>
            <a:ln>
              <a:solidFill>
                <a:prstClr val="black"/>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agreste!$B$13:$M$13</c:f>
              <c:numCache>
                <c:formatCode>General</c:formatCode>
                <c:ptCount val="12"/>
                <c:pt idx="0">
                  <c:v>201</c:v>
                </c:pt>
                <c:pt idx="1">
                  <c:v>217</c:v>
                </c:pt>
                <c:pt idx="2">
                  <c:v>144</c:v>
                </c:pt>
                <c:pt idx="3">
                  <c:v>184</c:v>
                </c:pt>
                <c:pt idx="4">
                  <c:v>400</c:v>
                </c:pt>
                <c:pt idx="5">
                  <c:v>458</c:v>
                </c:pt>
                <c:pt idx="6">
                  <c:v>387</c:v>
                </c:pt>
                <c:pt idx="7">
                  <c:v>214</c:v>
                </c:pt>
                <c:pt idx="8">
                  <c:v>371</c:v>
                </c:pt>
                <c:pt idx="9">
                  <c:v>60</c:v>
                </c:pt>
                <c:pt idx="10">
                  <c:v>59</c:v>
                </c:pt>
                <c:pt idx="11">
                  <c:v>107</c:v>
                </c:pt>
              </c:numCache>
            </c:numRef>
          </c:val>
        </c:ser>
        <c:ser>
          <c:idx val="12"/>
          <c:order val="12"/>
          <c:tx>
            <c:v>Limoeiro</c:v>
          </c:tx>
          <c:spPr>
            <a:ln>
              <a:solidFill>
                <a:prstClr val="black"/>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agreste!$B$14:$M$14</c:f>
              <c:numCache>
                <c:formatCode>General</c:formatCode>
                <c:ptCount val="12"/>
                <c:pt idx="0">
                  <c:v>85</c:v>
                </c:pt>
                <c:pt idx="1">
                  <c:v>22</c:v>
                </c:pt>
                <c:pt idx="2">
                  <c:v>99</c:v>
                </c:pt>
                <c:pt idx="3">
                  <c:v>157</c:v>
                </c:pt>
                <c:pt idx="4">
                  <c:v>172</c:v>
                </c:pt>
                <c:pt idx="5">
                  <c:v>220</c:v>
                </c:pt>
                <c:pt idx="6">
                  <c:v>231</c:v>
                </c:pt>
                <c:pt idx="7">
                  <c:v>102</c:v>
                </c:pt>
                <c:pt idx="8">
                  <c:v>75</c:v>
                </c:pt>
                <c:pt idx="9">
                  <c:v>13</c:v>
                </c:pt>
                <c:pt idx="10">
                  <c:v>36</c:v>
                </c:pt>
                <c:pt idx="11">
                  <c:v>70</c:v>
                </c:pt>
              </c:numCache>
            </c:numRef>
          </c:val>
        </c:ser>
        <c:ser>
          <c:idx val="13"/>
          <c:order val="13"/>
          <c:tx>
            <c:v>Caruaru</c:v>
          </c:tx>
          <c:spPr>
            <a:ln>
              <a:solidFill>
                <a:prstClr val="black"/>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agreste!$B$15:$M$15</c:f>
              <c:numCache>
                <c:formatCode>General</c:formatCode>
                <c:ptCount val="12"/>
                <c:pt idx="0">
                  <c:v>32</c:v>
                </c:pt>
                <c:pt idx="1">
                  <c:v>105</c:v>
                </c:pt>
                <c:pt idx="2">
                  <c:v>132</c:v>
                </c:pt>
                <c:pt idx="3">
                  <c:v>137</c:v>
                </c:pt>
                <c:pt idx="4">
                  <c:v>194</c:v>
                </c:pt>
                <c:pt idx="5">
                  <c:v>199</c:v>
                </c:pt>
                <c:pt idx="6">
                  <c:v>162</c:v>
                </c:pt>
                <c:pt idx="7">
                  <c:v>113</c:v>
                </c:pt>
                <c:pt idx="8">
                  <c:v>75</c:v>
                </c:pt>
                <c:pt idx="9">
                  <c:v>6</c:v>
                </c:pt>
                <c:pt idx="10">
                  <c:v>20</c:v>
                </c:pt>
                <c:pt idx="11">
                  <c:v>18</c:v>
                </c:pt>
              </c:numCache>
            </c:numRef>
          </c:val>
        </c:ser>
        <c:axId val="136752128"/>
        <c:axId val="136881280"/>
      </c:barChart>
      <c:catAx>
        <c:axId val="136752128"/>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layout>
            <c:manualLayout>
              <c:xMode val="edge"/>
              <c:yMode val="edge"/>
              <c:x val="0.49713754626192524"/>
              <c:y val="0.75956383317415144"/>
            </c:manualLayout>
          </c:layout>
        </c:title>
        <c:majorTickMark val="none"/>
        <c:tickLblPos val="nextTo"/>
        <c:txPr>
          <a:bodyPr rot="-5400000" vert="horz"/>
          <a:lstStyle/>
          <a:p>
            <a:pPr>
              <a:defRPr sz="800">
                <a:latin typeface="Times New Roman" pitchFamily="18" charset="0"/>
                <a:cs typeface="Times New Roman" pitchFamily="18" charset="0"/>
              </a:defRPr>
            </a:pPr>
            <a:endParaRPr lang="pt-BR"/>
          </a:p>
        </c:txPr>
        <c:crossAx val="136881280"/>
        <c:crosses val="autoZero"/>
        <c:auto val="1"/>
        <c:lblAlgn val="ctr"/>
        <c:lblOffset val="100"/>
      </c:catAx>
      <c:valAx>
        <c:axId val="136881280"/>
        <c:scaling>
          <c:orientation val="minMax"/>
          <c:max val="600"/>
        </c:scaling>
        <c:axPos val="l"/>
        <c:numFmt formatCode="General" sourceLinked="1"/>
        <c:tickLblPos val="nextTo"/>
        <c:txPr>
          <a:bodyPr/>
          <a:lstStyle/>
          <a:p>
            <a:pPr>
              <a:defRPr sz="800">
                <a:latin typeface="Times New Roman" pitchFamily="18" charset="0"/>
                <a:cs typeface="Times New Roman" pitchFamily="18" charset="0"/>
              </a:defRPr>
            </a:pPr>
            <a:endParaRPr lang="pt-BR"/>
          </a:p>
        </c:txPr>
        <c:crossAx val="136752128"/>
        <c:crosses val="autoZero"/>
        <c:crossBetween val="between"/>
      </c:valAx>
    </c:plotArea>
    <c:legend>
      <c:legendPos val="r"/>
      <c:layout>
        <c:manualLayout>
          <c:xMode val="edge"/>
          <c:yMode val="edge"/>
          <c:x val="4.4096888778114109E-2"/>
          <c:y val="0.82828915950334292"/>
          <c:w val="0.92486990079961429"/>
          <c:h val="0.15719317096466093"/>
        </c:manualLayout>
      </c:layout>
      <c:txPr>
        <a:bodyPr/>
        <a:lstStyle/>
        <a:p>
          <a:pPr>
            <a:defRPr sz="600">
              <a:latin typeface="Times New Roman" pitchFamily="18" charset="0"/>
              <a:cs typeface="Times New Roman" pitchFamily="18" charset="0"/>
            </a:defRPr>
          </a:pPr>
          <a:endParaRPr lang="pt-BR"/>
        </a:p>
      </c:txP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pt-BR"/>
  <c:chart>
    <c:autoTitleDeleted val="1"/>
    <c:plotArea>
      <c:layout>
        <c:manualLayout>
          <c:layoutTarget val="inner"/>
          <c:xMode val="edge"/>
          <c:yMode val="edge"/>
          <c:x val="0.18081746783656488"/>
          <c:y val="8.9754457179243574E-2"/>
          <c:w val="0.79506416231976051"/>
          <c:h val="0.54232847819165853"/>
        </c:manualLayout>
      </c:layout>
      <c:barChart>
        <c:barDir val="col"/>
        <c:grouping val="clustered"/>
        <c:ser>
          <c:idx val="0"/>
          <c:order val="0"/>
          <c:tx>
            <c:v>Araripina</c:v>
          </c:tx>
          <c:spPr>
            <a:ln w="9525">
              <a:solidFill>
                <a:prstClr val="black"/>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sertão!$B$2:$M$2</c:f>
              <c:numCache>
                <c:formatCode>General</c:formatCode>
                <c:ptCount val="12"/>
                <c:pt idx="0">
                  <c:v>165</c:v>
                </c:pt>
                <c:pt idx="1">
                  <c:v>214</c:v>
                </c:pt>
                <c:pt idx="2">
                  <c:v>280</c:v>
                </c:pt>
                <c:pt idx="3">
                  <c:v>123</c:v>
                </c:pt>
                <c:pt idx="4">
                  <c:v>33</c:v>
                </c:pt>
                <c:pt idx="5">
                  <c:v>9</c:v>
                </c:pt>
                <c:pt idx="6">
                  <c:v>6</c:v>
                </c:pt>
                <c:pt idx="7">
                  <c:v>8</c:v>
                </c:pt>
                <c:pt idx="8">
                  <c:v>3</c:v>
                </c:pt>
                <c:pt idx="9">
                  <c:v>16</c:v>
                </c:pt>
                <c:pt idx="10">
                  <c:v>54</c:v>
                </c:pt>
                <c:pt idx="11">
                  <c:v>97</c:v>
                </c:pt>
              </c:numCache>
            </c:numRef>
          </c:val>
        </c:ser>
        <c:ser>
          <c:idx val="1"/>
          <c:order val="1"/>
          <c:tx>
            <c:v>S. J. do Egito</c:v>
          </c:tx>
          <c:spPr>
            <a:ln w="9525">
              <a:solidFill>
                <a:prstClr val="black"/>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sertão!$B$3:$M$3</c:f>
              <c:numCache>
                <c:formatCode>General</c:formatCode>
                <c:ptCount val="12"/>
                <c:pt idx="0">
                  <c:v>74</c:v>
                </c:pt>
                <c:pt idx="1">
                  <c:v>136</c:v>
                </c:pt>
                <c:pt idx="2">
                  <c:v>209</c:v>
                </c:pt>
                <c:pt idx="3">
                  <c:v>181</c:v>
                </c:pt>
                <c:pt idx="4">
                  <c:v>87</c:v>
                </c:pt>
                <c:pt idx="5">
                  <c:v>35</c:v>
                </c:pt>
                <c:pt idx="6">
                  <c:v>28</c:v>
                </c:pt>
                <c:pt idx="7">
                  <c:v>6</c:v>
                </c:pt>
                <c:pt idx="8">
                  <c:v>9</c:v>
                </c:pt>
                <c:pt idx="9">
                  <c:v>45</c:v>
                </c:pt>
                <c:pt idx="10">
                  <c:v>12</c:v>
                </c:pt>
                <c:pt idx="11">
                  <c:v>5</c:v>
                </c:pt>
              </c:numCache>
            </c:numRef>
          </c:val>
        </c:ser>
        <c:ser>
          <c:idx val="2"/>
          <c:order val="2"/>
          <c:tx>
            <c:v>Exu</c:v>
          </c:tx>
          <c:spPr>
            <a:ln w="9525">
              <a:solidFill>
                <a:prstClr val="black"/>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sertão!$B$4:$M$4</c:f>
              <c:numCache>
                <c:formatCode>General</c:formatCode>
                <c:ptCount val="12"/>
                <c:pt idx="0">
                  <c:v>97</c:v>
                </c:pt>
                <c:pt idx="1">
                  <c:v>131</c:v>
                </c:pt>
                <c:pt idx="2">
                  <c:v>183</c:v>
                </c:pt>
                <c:pt idx="3">
                  <c:v>125</c:v>
                </c:pt>
                <c:pt idx="4">
                  <c:v>74</c:v>
                </c:pt>
                <c:pt idx="5">
                  <c:v>36</c:v>
                </c:pt>
                <c:pt idx="6">
                  <c:v>25</c:v>
                </c:pt>
                <c:pt idx="7">
                  <c:v>13</c:v>
                </c:pt>
                <c:pt idx="8">
                  <c:v>8</c:v>
                </c:pt>
                <c:pt idx="9">
                  <c:v>23</c:v>
                </c:pt>
                <c:pt idx="10">
                  <c:v>43</c:v>
                </c:pt>
                <c:pt idx="11">
                  <c:v>68</c:v>
                </c:pt>
              </c:numCache>
            </c:numRef>
          </c:val>
        </c:ser>
        <c:ser>
          <c:idx val="3"/>
          <c:order val="3"/>
          <c:tx>
            <c:v>S. J. Belmonte</c:v>
          </c:tx>
          <c:spPr>
            <a:ln w="9525">
              <a:solidFill>
                <a:prstClr val="black"/>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sertão!$B$5:$M$5</c:f>
              <c:numCache>
                <c:formatCode>General</c:formatCode>
                <c:ptCount val="12"/>
                <c:pt idx="0">
                  <c:v>147</c:v>
                </c:pt>
                <c:pt idx="1">
                  <c:v>220</c:v>
                </c:pt>
                <c:pt idx="2">
                  <c:v>254</c:v>
                </c:pt>
                <c:pt idx="3">
                  <c:v>195</c:v>
                </c:pt>
                <c:pt idx="4">
                  <c:v>44</c:v>
                </c:pt>
                <c:pt idx="5">
                  <c:v>19</c:v>
                </c:pt>
                <c:pt idx="6">
                  <c:v>14</c:v>
                </c:pt>
                <c:pt idx="7">
                  <c:v>1</c:v>
                </c:pt>
                <c:pt idx="8">
                  <c:v>4</c:v>
                </c:pt>
                <c:pt idx="9">
                  <c:v>11</c:v>
                </c:pt>
                <c:pt idx="10">
                  <c:v>41</c:v>
                </c:pt>
                <c:pt idx="11">
                  <c:v>42</c:v>
                </c:pt>
              </c:numCache>
            </c:numRef>
          </c:val>
        </c:ser>
        <c:ser>
          <c:idx val="4"/>
          <c:order val="4"/>
          <c:tx>
            <c:v>Verdejante</c:v>
          </c:tx>
          <c:spPr>
            <a:ln w="9525">
              <a:solidFill>
                <a:prstClr val="black"/>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sertão!$B$6:$M$6</c:f>
              <c:numCache>
                <c:formatCode>General</c:formatCode>
                <c:ptCount val="12"/>
                <c:pt idx="0">
                  <c:v>88</c:v>
                </c:pt>
                <c:pt idx="1">
                  <c:v>104</c:v>
                </c:pt>
                <c:pt idx="2">
                  <c:v>211</c:v>
                </c:pt>
                <c:pt idx="3">
                  <c:v>227</c:v>
                </c:pt>
                <c:pt idx="4">
                  <c:v>61</c:v>
                </c:pt>
                <c:pt idx="5">
                  <c:v>7</c:v>
                </c:pt>
                <c:pt idx="6">
                  <c:v>5</c:v>
                </c:pt>
                <c:pt idx="7">
                  <c:v>0</c:v>
                </c:pt>
                <c:pt idx="8">
                  <c:v>20</c:v>
                </c:pt>
                <c:pt idx="9">
                  <c:v>16</c:v>
                </c:pt>
                <c:pt idx="10">
                  <c:v>8</c:v>
                </c:pt>
                <c:pt idx="11">
                  <c:v>64</c:v>
                </c:pt>
              </c:numCache>
            </c:numRef>
          </c:val>
        </c:ser>
        <c:ser>
          <c:idx val="5"/>
          <c:order val="5"/>
          <c:tx>
            <c:v>Parnamirim</c:v>
          </c:tx>
          <c:spPr>
            <a:ln w="9525">
              <a:solidFill>
                <a:prstClr val="black"/>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sertão!$B$7:$M$7</c:f>
              <c:numCache>
                <c:formatCode>General</c:formatCode>
                <c:ptCount val="12"/>
                <c:pt idx="0">
                  <c:v>122</c:v>
                </c:pt>
                <c:pt idx="1">
                  <c:v>149</c:v>
                </c:pt>
                <c:pt idx="2">
                  <c:v>236</c:v>
                </c:pt>
                <c:pt idx="3">
                  <c:v>138</c:v>
                </c:pt>
                <c:pt idx="4">
                  <c:v>51</c:v>
                </c:pt>
                <c:pt idx="5">
                  <c:v>19</c:v>
                </c:pt>
                <c:pt idx="6">
                  <c:v>12</c:v>
                </c:pt>
                <c:pt idx="7">
                  <c:v>5</c:v>
                </c:pt>
                <c:pt idx="8">
                  <c:v>1</c:v>
                </c:pt>
                <c:pt idx="9">
                  <c:v>18</c:v>
                </c:pt>
                <c:pt idx="10">
                  <c:v>43</c:v>
                </c:pt>
                <c:pt idx="11">
                  <c:v>76</c:v>
                </c:pt>
              </c:numCache>
            </c:numRef>
          </c:val>
        </c:ser>
        <c:ser>
          <c:idx val="6"/>
          <c:order val="6"/>
          <c:tx>
            <c:v>Salgueiro</c:v>
          </c:tx>
          <c:spPr>
            <a:ln w="9525">
              <a:solidFill>
                <a:prstClr val="black"/>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sertão!$B$8:$M$8</c:f>
              <c:numCache>
                <c:formatCode>General</c:formatCode>
                <c:ptCount val="12"/>
                <c:pt idx="0">
                  <c:v>140</c:v>
                </c:pt>
                <c:pt idx="1">
                  <c:v>163</c:v>
                </c:pt>
                <c:pt idx="2">
                  <c:v>221</c:v>
                </c:pt>
                <c:pt idx="3">
                  <c:v>127</c:v>
                </c:pt>
                <c:pt idx="4">
                  <c:v>34</c:v>
                </c:pt>
                <c:pt idx="5">
                  <c:v>19</c:v>
                </c:pt>
                <c:pt idx="6">
                  <c:v>11</c:v>
                </c:pt>
                <c:pt idx="7">
                  <c:v>5</c:v>
                </c:pt>
                <c:pt idx="8">
                  <c:v>7</c:v>
                </c:pt>
                <c:pt idx="9">
                  <c:v>21</c:v>
                </c:pt>
                <c:pt idx="10">
                  <c:v>31</c:v>
                </c:pt>
                <c:pt idx="11">
                  <c:v>80</c:v>
                </c:pt>
              </c:numCache>
            </c:numRef>
          </c:val>
        </c:ser>
        <c:ser>
          <c:idx val="7"/>
          <c:order val="7"/>
          <c:tx>
            <c:v>Moxotó</c:v>
          </c:tx>
          <c:spPr>
            <a:ln w="9525">
              <a:solidFill>
                <a:prstClr val="black"/>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sertão!$B$9:$M$9</c:f>
              <c:numCache>
                <c:formatCode>General</c:formatCode>
                <c:ptCount val="12"/>
                <c:pt idx="0">
                  <c:v>89</c:v>
                </c:pt>
                <c:pt idx="1">
                  <c:v>104</c:v>
                </c:pt>
                <c:pt idx="2">
                  <c:v>293</c:v>
                </c:pt>
                <c:pt idx="3">
                  <c:v>118</c:v>
                </c:pt>
                <c:pt idx="4">
                  <c:v>48</c:v>
                </c:pt>
                <c:pt idx="5">
                  <c:v>22</c:v>
                </c:pt>
                <c:pt idx="6">
                  <c:v>32</c:v>
                </c:pt>
                <c:pt idx="7">
                  <c:v>6</c:v>
                </c:pt>
                <c:pt idx="8">
                  <c:v>3</c:v>
                </c:pt>
                <c:pt idx="9">
                  <c:v>8</c:v>
                </c:pt>
                <c:pt idx="10">
                  <c:v>15</c:v>
                </c:pt>
                <c:pt idx="11">
                  <c:v>20</c:v>
                </c:pt>
              </c:numCache>
            </c:numRef>
          </c:val>
        </c:ser>
        <c:ser>
          <c:idx val="8"/>
          <c:order val="8"/>
          <c:tx>
            <c:v>Arcoverde</c:v>
          </c:tx>
          <c:spPr>
            <a:ln w="9525">
              <a:solidFill>
                <a:schemeClr val="tx1"/>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sertão!$B$10:$M$10</c:f>
              <c:numCache>
                <c:formatCode>General</c:formatCode>
                <c:ptCount val="12"/>
                <c:pt idx="0">
                  <c:v>63</c:v>
                </c:pt>
                <c:pt idx="1">
                  <c:v>80</c:v>
                </c:pt>
                <c:pt idx="2">
                  <c:v>128</c:v>
                </c:pt>
                <c:pt idx="3">
                  <c:v>165</c:v>
                </c:pt>
                <c:pt idx="4">
                  <c:v>139</c:v>
                </c:pt>
                <c:pt idx="5">
                  <c:v>95</c:v>
                </c:pt>
                <c:pt idx="6">
                  <c:v>80</c:v>
                </c:pt>
                <c:pt idx="7">
                  <c:v>51</c:v>
                </c:pt>
                <c:pt idx="8">
                  <c:v>19</c:v>
                </c:pt>
                <c:pt idx="9">
                  <c:v>19</c:v>
                </c:pt>
                <c:pt idx="10">
                  <c:v>14</c:v>
                </c:pt>
                <c:pt idx="11">
                  <c:v>18</c:v>
                </c:pt>
              </c:numCache>
            </c:numRef>
          </c:val>
        </c:ser>
        <c:ser>
          <c:idx val="9"/>
          <c:order val="9"/>
          <c:tx>
            <c:v>Caiçara</c:v>
          </c:tx>
          <c:spPr>
            <a:noFill/>
            <a:ln w="9525">
              <a:solidFill>
                <a:prstClr val="black"/>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sertão!$B$11:$M$11</c:f>
              <c:numCache>
                <c:formatCode>General</c:formatCode>
                <c:ptCount val="12"/>
                <c:pt idx="0">
                  <c:v>135</c:v>
                </c:pt>
                <c:pt idx="1">
                  <c:v>133</c:v>
                </c:pt>
                <c:pt idx="2">
                  <c:v>259</c:v>
                </c:pt>
                <c:pt idx="3">
                  <c:v>166</c:v>
                </c:pt>
                <c:pt idx="4">
                  <c:v>86</c:v>
                </c:pt>
                <c:pt idx="5">
                  <c:v>39</c:v>
                </c:pt>
                <c:pt idx="6">
                  <c:v>17</c:v>
                </c:pt>
                <c:pt idx="7">
                  <c:v>4</c:v>
                </c:pt>
                <c:pt idx="8">
                  <c:v>5</c:v>
                </c:pt>
                <c:pt idx="9">
                  <c:v>10</c:v>
                </c:pt>
                <c:pt idx="10">
                  <c:v>29</c:v>
                </c:pt>
                <c:pt idx="11">
                  <c:v>72</c:v>
                </c:pt>
              </c:numCache>
            </c:numRef>
          </c:val>
        </c:ser>
        <c:axId val="137503104"/>
        <c:axId val="137505408"/>
      </c:barChart>
      <c:catAx>
        <c:axId val="137503104"/>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title>
        <c:majorTickMark val="none"/>
        <c:tickLblPos val="nextTo"/>
        <c:txPr>
          <a:bodyPr rot="-5400000" vert="horz"/>
          <a:lstStyle/>
          <a:p>
            <a:pPr>
              <a:defRPr sz="800">
                <a:latin typeface="Times New Roman" pitchFamily="18" charset="0"/>
                <a:cs typeface="Times New Roman" pitchFamily="18" charset="0"/>
              </a:defRPr>
            </a:pPr>
            <a:endParaRPr lang="pt-BR"/>
          </a:p>
        </c:txPr>
        <c:crossAx val="137505408"/>
        <c:crosses val="autoZero"/>
        <c:auto val="1"/>
        <c:lblAlgn val="ctr"/>
        <c:lblOffset val="100"/>
      </c:catAx>
      <c:valAx>
        <c:axId val="137505408"/>
        <c:scaling>
          <c:orientation val="minMax"/>
          <c:max val="600"/>
        </c:scaling>
        <c:axPos val="l"/>
        <c:title>
          <c:tx>
            <c:rich>
              <a:bodyPr/>
              <a:lstStyle/>
              <a:p>
                <a:pPr>
                  <a:defRPr sz="800">
                    <a:latin typeface="Times New Roman" pitchFamily="18" charset="0"/>
                    <a:cs typeface="Times New Roman" pitchFamily="18" charset="0"/>
                  </a:defRPr>
                </a:pPr>
                <a:r>
                  <a:rPr lang="pt-BR" sz="800" b="1" i="0" u="none" strike="noStrike" baseline="0"/>
                  <a:t>Rainfall</a:t>
                </a:r>
                <a:r>
                  <a:rPr lang="pt-BR" sz="800" baseline="0">
                    <a:latin typeface="Times New Roman" pitchFamily="18" charset="0"/>
                    <a:cs typeface="Times New Roman" pitchFamily="18" charset="0"/>
                  </a:rPr>
                  <a:t> (mm)</a:t>
                </a:r>
                <a:endParaRPr lang="pt-BR" sz="800">
                  <a:latin typeface="Times New Roman" pitchFamily="18" charset="0"/>
                  <a:cs typeface="Times New Roman" pitchFamily="18" charset="0"/>
                </a:endParaRPr>
              </a:p>
            </c:rich>
          </c:tx>
        </c:title>
        <c:numFmt formatCode="General" sourceLinked="1"/>
        <c:tickLblPos val="nextTo"/>
        <c:txPr>
          <a:bodyPr/>
          <a:lstStyle/>
          <a:p>
            <a:pPr>
              <a:defRPr sz="800">
                <a:latin typeface="Times New Roman" pitchFamily="18" charset="0"/>
                <a:cs typeface="Times New Roman" pitchFamily="18" charset="0"/>
              </a:defRPr>
            </a:pPr>
            <a:endParaRPr lang="pt-BR"/>
          </a:p>
        </c:txPr>
        <c:crossAx val="137503104"/>
        <c:crosses val="autoZero"/>
        <c:crossBetween val="between"/>
      </c:valAx>
    </c:plotArea>
    <c:legend>
      <c:legendPos val="r"/>
      <c:layout>
        <c:manualLayout>
          <c:xMode val="edge"/>
          <c:yMode val="edge"/>
          <c:x val="2.4424819075414252E-2"/>
          <c:y val="0.87309614772365451"/>
          <c:w val="0.9523761753636043"/>
          <c:h val="0.12690385227634521"/>
        </c:manualLayout>
      </c:layout>
      <c:txPr>
        <a:bodyPr/>
        <a:lstStyle/>
        <a:p>
          <a:pPr>
            <a:defRPr sz="700">
              <a:latin typeface="Times New Roman" pitchFamily="18" charset="0"/>
              <a:cs typeface="Times New Roman" pitchFamily="18" charset="0"/>
            </a:defRPr>
          </a:pPr>
          <a:endParaRPr lang="pt-BR"/>
        </a:p>
      </c:txPr>
    </c:legend>
    <c:plotVisOnly val="1"/>
  </c:chart>
  <c:spPr>
    <a:noFill/>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pt-BR"/>
  <c:chart>
    <c:autoTitleDeleted val="1"/>
    <c:plotArea>
      <c:layout>
        <c:manualLayout>
          <c:layoutTarget val="inner"/>
          <c:xMode val="edge"/>
          <c:yMode val="edge"/>
          <c:x val="0.18444521869980246"/>
          <c:y val="6.7180288878664909E-2"/>
          <c:w val="0.79957992026815283"/>
          <c:h val="0.55567975878015263"/>
        </c:manualLayout>
      </c:layout>
      <c:barChart>
        <c:barDir val="col"/>
        <c:grouping val="clustered"/>
        <c:ser>
          <c:idx val="0"/>
          <c:order val="0"/>
          <c:tx>
            <c:v>Pau Ferro</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francisco'!$B$2:$M$2</c:f>
              <c:numCache>
                <c:formatCode>General</c:formatCode>
                <c:ptCount val="12"/>
                <c:pt idx="0">
                  <c:v>69</c:v>
                </c:pt>
                <c:pt idx="1">
                  <c:v>95</c:v>
                </c:pt>
                <c:pt idx="2">
                  <c:v>197</c:v>
                </c:pt>
                <c:pt idx="3">
                  <c:v>114</c:v>
                </c:pt>
                <c:pt idx="4">
                  <c:v>14</c:v>
                </c:pt>
                <c:pt idx="5">
                  <c:v>6</c:v>
                </c:pt>
                <c:pt idx="6">
                  <c:v>0</c:v>
                </c:pt>
                <c:pt idx="7">
                  <c:v>2</c:v>
                </c:pt>
                <c:pt idx="8">
                  <c:v>1</c:v>
                </c:pt>
                <c:pt idx="9">
                  <c:v>31</c:v>
                </c:pt>
                <c:pt idx="10">
                  <c:v>33</c:v>
                </c:pt>
                <c:pt idx="11">
                  <c:v>47</c:v>
                </c:pt>
              </c:numCache>
            </c:numRef>
          </c:val>
        </c:ser>
        <c:ser>
          <c:idx val="1"/>
          <c:order val="1"/>
          <c:tx>
            <c:v>Jutaí</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francisco'!$B$3:$M$3</c:f>
              <c:numCache>
                <c:formatCode>General</c:formatCode>
                <c:ptCount val="12"/>
                <c:pt idx="0">
                  <c:v>106</c:v>
                </c:pt>
                <c:pt idx="1">
                  <c:v>144</c:v>
                </c:pt>
                <c:pt idx="2">
                  <c:v>192</c:v>
                </c:pt>
                <c:pt idx="3">
                  <c:v>200</c:v>
                </c:pt>
                <c:pt idx="4">
                  <c:v>50</c:v>
                </c:pt>
                <c:pt idx="5">
                  <c:v>40</c:v>
                </c:pt>
                <c:pt idx="6">
                  <c:v>14</c:v>
                </c:pt>
                <c:pt idx="7">
                  <c:v>10</c:v>
                </c:pt>
                <c:pt idx="8">
                  <c:v>5</c:v>
                </c:pt>
                <c:pt idx="9">
                  <c:v>14</c:v>
                </c:pt>
                <c:pt idx="10">
                  <c:v>51</c:v>
                </c:pt>
                <c:pt idx="11">
                  <c:v>64</c:v>
                </c:pt>
              </c:numCache>
            </c:numRef>
          </c:val>
        </c:ser>
        <c:ser>
          <c:idx val="2"/>
          <c:order val="2"/>
          <c:tx>
            <c:v>Lagoa Grande</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francisco'!$B$4:$M$4</c:f>
              <c:numCache>
                <c:formatCode>General</c:formatCode>
                <c:ptCount val="12"/>
                <c:pt idx="0">
                  <c:v>141</c:v>
                </c:pt>
                <c:pt idx="1">
                  <c:v>114</c:v>
                </c:pt>
                <c:pt idx="2">
                  <c:v>216</c:v>
                </c:pt>
                <c:pt idx="3">
                  <c:v>89</c:v>
                </c:pt>
                <c:pt idx="4">
                  <c:v>48</c:v>
                </c:pt>
                <c:pt idx="5">
                  <c:v>19</c:v>
                </c:pt>
                <c:pt idx="6">
                  <c:v>17</c:v>
                </c:pt>
                <c:pt idx="7">
                  <c:v>4</c:v>
                </c:pt>
                <c:pt idx="8">
                  <c:v>4</c:v>
                </c:pt>
                <c:pt idx="9">
                  <c:v>44</c:v>
                </c:pt>
                <c:pt idx="10">
                  <c:v>42</c:v>
                </c:pt>
                <c:pt idx="11">
                  <c:v>137</c:v>
                </c:pt>
              </c:numCache>
            </c:numRef>
          </c:val>
        </c:ser>
        <c:ser>
          <c:idx val="3"/>
          <c:order val="3"/>
          <c:tx>
            <c:v>Petrolina</c:v>
          </c:tx>
          <c:spPr>
            <a:solidFill>
              <a:prstClr val="black"/>
            </a:solidFill>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francisco'!$B$5:$M$5</c:f>
              <c:numCache>
                <c:formatCode>General</c:formatCode>
                <c:ptCount val="12"/>
                <c:pt idx="0">
                  <c:v>112</c:v>
                </c:pt>
                <c:pt idx="1">
                  <c:v>144</c:v>
                </c:pt>
                <c:pt idx="2">
                  <c:v>177</c:v>
                </c:pt>
                <c:pt idx="3">
                  <c:v>66</c:v>
                </c:pt>
                <c:pt idx="4">
                  <c:v>15</c:v>
                </c:pt>
                <c:pt idx="5">
                  <c:v>6</c:v>
                </c:pt>
                <c:pt idx="6">
                  <c:v>4</c:v>
                </c:pt>
                <c:pt idx="7">
                  <c:v>2</c:v>
                </c:pt>
                <c:pt idx="8">
                  <c:v>3</c:v>
                </c:pt>
                <c:pt idx="9">
                  <c:v>22</c:v>
                </c:pt>
                <c:pt idx="10">
                  <c:v>36</c:v>
                </c:pt>
                <c:pt idx="11">
                  <c:v>80</c:v>
                </c:pt>
              </c:numCache>
            </c:numRef>
          </c:val>
        </c:ser>
        <c:ser>
          <c:idx val="4"/>
          <c:order val="4"/>
          <c:tx>
            <c:v>Orocó</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francisco'!$B$6:$M$6</c:f>
              <c:numCache>
                <c:formatCode>General</c:formatCode>
                <c:ptCount val="12"/>
                <c:pt idx="0">
                  <c:v>232</c:v>
                </c:pt>
                <c:pt idx="1">
                  <c:v>147</c:v>
                </c:pt>
                <c:pt idx="2">
                  <c:v>221</c:v>
                </c:pt>
                <c:pt idx="3">
                  <c:v>158</c:v>
                </c:pt>
                <c:pt idx="4">
                  <c:v>22</c:v>
                </c:pt>
                <c:pt idx="5">
                  <c:v>7</c:v>
                </c:pt>
                <c:pt idx="6">
                  <c:v>2</c:v>
                </c:pt>
                <c:pt idx="7">
                  <c:v>2</c:v>
                </c:pt>
                <c:pt idx="8">
                  <c:v>0</c:v>
                </c:pt>
                <c:pt idx="9">
                  <c:v>16</c:v>
                </c:pt>
                <c:pt idx="10">
                  <c:v>12</c:v>
                </c:pt>
                <c:pt idx="11">
                  <c:v>27</c:v>
                </c:pt>
              </c:numCache>
            </c:numRef>
          </c:val>
        </c:ser>
        <c:ser>
          <c:idx val="5"/>
          <c:order val="5"/>
          <c:tx>
            <c:v>Cabrobo</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francisco'!$B$7:$M$7</c:f>
              <c:numCache>
                <c:formatCode>General</c:formatCode>
                <c:ptCount val="12"/>
                <c:pt idx="0">
                  <c:v>114</c:v>
                </c:pt>
                <c:pt idx="1">
                  <c:v>165</c:v>
                </c:pt>
                <c:pt idx="2">
                  <c:v>199</c:v>
                </c:pt>
                <c:pt idx="3">
                  <c:v>96</c:v>
                </c:pt>
                <c:pt idx="4">
                  <c:v>24</c:v>
                </c:pt>
                <c:pt idx="5">
                  <c:v>19</c:v>
                </c:pt>
                <c:pt idx="6">
                  <c:v>12</c:v>
                </c:pt>
                <c:pt idx="7">
                  <c:v>5</c:v>
                </c:pt>
                <c:pt idx="8">
                  <c:v>1</c:v>
                </c:pt>
                <c:pt idx="9">
                  <c:v>10</c:v>
                </c:pt>
                <c:pt idx="10">
                  <c:v>36</c:v>
                </c:pt>
                <c:pt idx="11">
                  <c:v>87</c:v>
                </c:pt>
              </c:numCache>
            </c:numRef>
          </c:val>
        </c:ser>
        <c:ser>
          <c:idx val="6"/>
          <c:order val="6"/>
          <c:tx>
            <c:v>Ico</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francisco'!$B$8:$M$8</c:f>
              <c:numCache>
                <c:formatCode>General</c:formatCode>
                <c:ptCount val="12"/>
                <c:pt idx="0">
                  <c:v>58</c:v>
                </c:pt>
                <c:pt idx="1">
                  <c:v>88</c:v>
                </c:pt>
                <c:pt idx="2">
                  <c:v>174</c:v>
                </c:pt>
                <c:pt idx="3">
                  <c:v>86</c:v>
                </c:pt>
                <c:pt idx="4">
                  <c:v>32</c:v>
                </c:pt>
                <c:pt idx="5">
                  <c:v>13</c:v>
                </c:pt>
                <c:pt idx="6">
                  <c:v>16</c:v>
                </c:pt>
                <c:pt idx="7">
                  <c:v>3</c:v>
                </c:pt>
                <c:pt idx="8">
                  <c:v>2</c:v>
                </c:pt>
                <c:pt idx="9">
                  <c:v>6</c:v>
                </c:pt>
                <c:pt idx="10">
                  <c:v>26</c:v>
                </c:pt>
                <c:pt idx="11">
                  <c:v>67</c:v>
                </c:pt>
              </c:numCache>
            </c:numRef>
          </c:val>
        </c:ser>
        <c:ser>
          <c:idx val="7"/>
          <c:order val="7"/>
          <c:tx>
            <c:v>Floresta</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francisco'!$B$9:$M$9</c:f>
              <c:numCache>
                <c:formatCode>General</c:formatCode>
                <c:ptCount val="12"/>
                <c:pt idx="0">
                  <c:v>121</c:v>
                </c:pt>
                <c:pt idx="1">
                  <c:v>170</c:v>
                </c:pt>
                <c:pt idx="2">
                  <c:v>227</c:v>
                </c:pt>
                <c:pt idx="3">
                  <c:v>91</c:v>
                </c:pt>
                <c:pt idx="4">
                  <c:v>34</c:v>
                </c:pt>
                <c:pt idx="5">
                  <c:v>21</c:v>
                </c:pt>
                <c:pt idx="6">
                  <c:v>15</c:v>
                </c:pt>
                <c:pt idx="7">
                  <c:v>6</c:v>
                </c:pt>
                <c:pt idx="8">
                  <c:v>8</c:v>
                </c:pt>
                <c:pt idx="9">
                  <c:v>10</c:v>
                </c:pt>
                <c:pt idx="10">
                  <c:v>34</c:v>
                </c:pt>
                <c:pt idx="11">
                  <c:v>74</c:v>
                </c:pt>
              </c:numCache>
            </c:numRef>
          </c:val>
        </c:ser>
        <c:ser>
          <c:idx val="8"/>
          <c:order val="8"/>
          <c:tx>
            <c:v>Tacaratu</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francisco'!$B$10:$M$10</c:f>
              <c:numCache>
                <c:formatCode>General</c:formatCode>
                <c:ptCount val="12"/>
                <c:pt idx="0">
                  <c:v>45</c:v>
                </c:pt>
                <c:pt idx="1">
                  <c:v>69</c:v>
                </c:pt>
                <c:pt idx="2">
                  <c:v>99</c:v>
                </c:pt>
                <c:pt idx="3">
                  <c:v>78</c:v>
                </c:pt>
                <c:pt idx="4">
                  <c:v>94</c:v>
                </c:pt>
                <c:pt idx="5">
                  <c:v>89</c:v>
                </c:pt>
                <c:pt idx="6">
                  <c:v>96</c:v>
                </c:pt>
                <c:pt idx="7">
                  <c:v>41</c:v>
                </c:pt>
                <c:pt idx="8">
                  <c:v>24</c:v>
                </c:pt>
                <c:pt idx="9">
                  <c:v>17</c:v>
                </c:pt>
                <c:pt idx="10">
                  <c:v>32</c:v>
                </c:pt>
                <c:pt idx="11">
                  <c:v>47</c:v>
                </c:pt>
              </c:numCache>
            </c:numRef>
          </c:val>
        </c:ser>
        <c:axId val="144107392"/>
        <c:axId val="144235904"/>
      </c:barChart>
      <c:catAx>
        <c:axId val="144107392"/>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title>
        <c:majorTickMark val="none"/>
        <c:tickLblPos val="nextTo"/>
        <c:txPr>
          <a:bodyPr rot="-5400000" vert="horz"/>
          <a:lstStyle/>
          <a:p>
            <a:pPr>
              <a:defRPr sz="800">
                <a:latin typeface="Times New Roman" pitchFamily="18" charset="0"/>
                <a:cs typeface="Times New Roman" pitchFamily="18" charset="0"/>
              </a:defRPr>
            </a:pPr>
            <a:endParaRPr lang="pt-BR"/>
          </a:p>
        </c:txPr>
        <c:crossAx val="144235904"/>
        <c:crosses val="autoZero"/>
        <c:auto val="1"/>
        <c:lblAlgn val="ctr"/>
        <c:lblOffset val="100"/>
      </c:catAx>
      <c:valAx>
        <c:axId val="144235904"/>
        <c:scaling>
          <c:orientation val="minMax"/>
          <c:max val="600"/>
        </c:scaling>
        <c:axPos val="l"/>
        <c:numFmt formatCode="General" sourceLinked="1"/>
        <c:tickLblPos val="nextTo"/>
        <c:txPr>
          <a:bodyPr/>
          <a:lstStyle/>
          <a:p>
            <a:pPr>
              <a:defRPr sz="800">
                <a:latin typeface="Times New Roman" pitchFamily="18" charset="0"/>
                <a:cs typeface="Times New Roman" pitchFamily="18" charset="0"/>
              </a:defRPr>
            </a:pPr>
            <a:endParaRPr lang="pt-BR"/>
          </a:p>
        </c:txPr>
        <c:crossAx val="144107392"/>
        <c:crosses val="autoZero"/>
        <c:crossBetween val="between"/>
      </c:valAx>
    </c:plotArea>
    <c:legend>
      <c:legendPos val="r"/>
      <c:layout>
        <c:manualLayout>
          <c:xMode val="edge"/>
          <c:yMode val="edge"/>
          <c:x val="0.11628208750531749"/>
          <c:y val="0.84647331143845561"/>
          <c:w val="0.85171412647182365"/>
          <c:h val="0.15096680267387091"/>
        </c:manualLayout>
      </c:layout>
      <c:txPr>
        <a:bodyPr/>
        <a:lstStyle/>
        <a:p>
          <a:pPr>
            <a:defRPr sz="600">
              <a:latin typeface="Times New Roman" pitchFamily="18" charset="0"/>
              <a:cs typeface="Times New Roman" pitchFamily="18" charset="0"/>
            </a:defRPr>
          </a:pPr>
          <a:endParaRPr lang="pt-BR"/>
        </a:p>
      </c:txPr>
    </c:legend>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pt-BR"/>
  <c:style val="1"/>
  <c:chart>
    <c:plotArea>
      <c:layout>
        <c:manualLayout>
          <c:layoutTarget val="inner"/>
          <c:xMode val="edge"/>
          <c:yMode val="edge"/>
          <c:x val="0.17625189615469841"/>
          <c:y val="7.7911668122542133E-2"/>
          <c:w val="0.79000944822373464"/>
          <c:h val="0.47460820196399667"/>
        </c:manualLayout>
      </c:layout>
      <c:lineChart>
        <c:grouping val="standard"/>
        <c:ser>
          <c:idx val="0"/>
          <c:order val="0"/>
          <c:tx>
            <c:v>Barreiros</c:v>
          </c:tx>
          <c:spPr>
            <a:ln w="3175">
              <a:solidFill>
                <a:prstClr val="black"/>
              </a:solidFill>
            </a:ln>
          </c:spPr>
          <c:marker>
            <c:spPr>
              <a:noFill/>
              <a:ln w="6350">
                <a:solidFill>
                  <a:prstClr val="black"/>
                </a:solidFill>
              </a:ln>
            </c:spPr>
          </c:marker>
          <c:cat>
            <c:strRef>
              <c:f>'zona da mata'!$B$2:$M$2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mata'!$B$3:$M$3</c:f>
              <c:numCache>
                <c:formatCode>General</c:formatCode>
                <c:ptCount val="12"/>
                <c:pt idx="0">
                  <c:v>118.5</c:v>
                </c:pt>
                <c:pt idx="1">
                  <c:v>99.1</c:v>
                </c:pt>
                <c:pt idx="2">
                  <c:v>97.8</c:v>
                </c:pt>
                <c:pt idx="3">
                  <c:v>81.599999999999994</c:v>
                </c:pt>
                <c:pt idx="4">
                  <c:v>66.900000000000006</c:v>
                </c:pt>
                <c:pt idx="5">
                  <c:v>53.1</c:v>
                </c:pt>
                <c:pt idx="6">
                  <c:v>50.9</c:v>
                </c:pt>
                <c:pt idx="7">
                  <c:v>57</c:v>
                </c:pt>
                <c:pt idx="8">
                  <c:v>71.900000000000006</c:v>
                </c:pt>
                <c:pt idx="9">
                  <c:v>96.9</c:v>
                </c:pt>
                <c:pt idx="10">
                  <c:v>110.3</c:v>
                </c:pt>
                <c:pt idx="11">
                  <c:v>122</c:v>
                </c:pt>
              </c:numCache>
            </c:numRef>
          </c:val>
        </c:ser>
        <c:ser>
          <c:idx val="1"/>
          <c:order val="1"/>
          <c:tx>
            <c:v>Cortês</c:v>
          </c:tx>
          <c:spPr>
            <a:ln w="3175">
              <a:solidFill>
                <a:prstClr val="black"/>
              </a:solidFill>
            </a:ln>
          </c:spPr>
          <c:marker>
            <c:spPr>
              <a:noFill/>
              <a:ln w="6350">
                <a:solidFill>
                  <a:prstClr val="black"/>
                </a:solidFill>
              </a:ln>
            </c:spPr>
          </c:marker>
          <c:cat>
            <c:strRef>
              <c:f>'zona da mata'!$B$2:$M$2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mata'!$B$4:$M$4</c:f>
              <c:numCache>
                <c:formatCode>General</c:formatCode>
                <c:ptCount val="12"/>
                <c:pt idx="0">
                  <c:v>122.5</c:v>
                </c:pt>
                <c:pt idx="1">
                  <c:v>109.1</c:v>
                </c:pt>
                <c:pt idx="2">
                  <c:v>117.3</c:v>
                </c:pt>
                <c:pt idx="3">
                  <c:v>106.2</c:v>
                </c:pt>
                <c:pt idx="4">
                  <c:v>94.7</c:v>
                </c:pt>
                <c:pt idx="5">
                  <c:v>78.2</c:v>
                </c:pt>
                <c:pt idx="6">
                  <c:v>71.900000000000006</c:v>
                </c:pt>
                <c:pt idx="7">
                  <c:v>74.099999999999994</c:v>
                </c:pt>
                <c:pt idx="8">
                  <c:v>82.2</c:v>
                </c:pt>
                <c:pt idx="9">
                  <c:v>101.9</c:v>
                </c:pt>
                <c:pt idx="10">
                  <c:v>110.3</c:v>
                </c:pt>
                <c:pt idx="11">
                  <c:v>121.8</c:v>
                </c:pt>
              </c:numCache>
            </c:numRef>
          </c:val>
        </c:ser>
        <c:ser>
          <c:idx val="2"/>
          <c:order val="2"/>
          <c:tx>
            <c:v>Escada</c:v>
          </c:tx>
          <c:spPr>
            <a:ln w="3175">
              <a:solidFill>
                <a:prstClr val="black"/>
              </a:solidFill>
            </a:ln>
          </c:spPr>
          <c:marker>
            <c:spPr>
              <a:noFill/>
              <a:ln w="6350">
                <a:solidFill>
                  <a:prstClr val="black"/>
                </a:solidFill>
              </a:ln>
            </c:spPr>
          </c:marker>
          <c:cat>
            <c:strRef>
              <c:f>'zona da mata'!$B$2:$M$2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mata'!$B$5:$M$5</c:f>
              <c:numCache>
                <c:formatCode>General</c:formatCode>
                <c:ptCount val="12"/>
                <c:pt idx="0">
                  <c:v>140.69999999999999</c:v>
                </c:pt>
                <c:pt idx="1">
                  <c:v>125.4</c:v>
                </c:pt>
                <c:pt idx="2">
                  <c:v>134.69999999999999</c:v>
                </c:pt>
                <c:pt idx="3">
                  <c:v>120</c:v>
                </c:pt>
                <c:pt idx="4">
                  <c:v>107.4</c:v>
                </c:pt>
                <c:pt idx="5">
                  <c:v>90.2</c:v>
                </c:pt>
                <c:pt idx="6">
                  <c:v>83.8</c:v>
                </c:pt>
                <c:pt idx="7">
                  <c:v>87.3</c:v>
                </c:pt>
                <c:pt idx="8">
                  <c:v>96.2</c:v>
                </c:pt>
                <c:pt idx="9">
                  <c:v>117.2</c:v>
                </c:pt>
                <c:pt idx="10">
                  <c:v>127.7</c:v>
                </c:pt>
                <c:pt idx="11">
                  <c:v>139.9</c:v>
                </c:pt>
              </c:numCache>
            </c:numRef>
          </c:val>
        </c:ser>
        <c:ser>
          <c:idx val="3"/>
          <c:order val="3"/>
          <c:tx>
            <c:v>Gameleira</c:v>
          </c:tx>
          <c:spPr>
            <a:ln w="3175">
              <a:solidFill>
                <a:prstClr val="black"/>
              </a:solidFill>
            </a:ln>
          </c:spPr>
          <c:marker>
            <c:spPr>
              <a:noFill/>
              <a:ln w="6350">
                <a:solidFill>
                  <a:prstClr val="black"/>
                </a:solidFill>
              </a:ln>
            </c:spPr>
          </c:marker>
          <c:cat>
            <c:strRef>
              <c:f>'zona da mata'!$B$2:$M$2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mata'!$B$6:$M$6</c:f>
              <c:numCache>
                <c:formatCode>General</c:formatCode>
                <c:ptCount val="12"/>
                <c:pt idx="0">
                  <c:v>118.5</c:v>
                </c:pt>
                <c:pt idx="1">
                  <c:v>99.1</c:v>
                </c:pt>
                <c:pt idx="2">
                  <c:v>97.8</c:v>
                </c:pt>
                <c:pt idx="3">
                  <c:v>84</c:v>
                </c:pt>
                <c:pt idx="4">
                  <c:v>70.900000000000006</c:v>
                </c:pt>
                <c:pt idx="5">
                  <c:v>53.1</c:v>
                </c:pt>
                <c:pt idx="6">
                  <c:v>51.9</c:v>
                </c:pt>
                <c:pt idx="7">
                  <c:v>57</c:v>
                </c:pt>
                <c:pt idx="8">
                  <c:v>71.900000000000006</c:v>
                </c:pt>
                <c:pt idx="9">
                  <c:v>96.9</c:v>
                </c:pt>
                <c:pt idx="10">
                  <c:v>116.3</c:v>
                </c:pt>
                <c:pt idx="11">
                  <c:v>142</c:v>
                </c:pt>
              </c:numCache>
            </c:numRef>
          </c:val>
        </c:ser>
        <c:ser>
          <c:idx val="4"/>
          <c:order val="4"/>
          <c:tx>
            <c:v>Palmares</c:v>
          </c:tx>
          <c:spPr>
            <a:ln w="3175">
              <a:solidFill>
                <a:prstClr val="black"/>
              </a:solidFill>
            </a:ln>
          </c:spPr>
          <c:marker>
            <c:spPr>
              <a:noFill/>
              <a:ln w="6350">
                <a:solidFill>
                  <a:prstClr val="black"/>
                </a:solidFill>
              </a:ln>
            </c:spPr>
          </c:marker>
          <c:cat>
            <c:strRef>
              <c:f>'zona da mata'!$B$2:$M$2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mata'!$B$7:$M$7</c:f>
              <c:numCache>
                <c:formatCode>General</c:formatCode>
                <c:ptCount val="12"/>
                <c:pt idx="0">
                  <c:v>118.5</c:v>
                </c:pt>
                <c:pt idx="1">
                  <c:v>99.1</c:v>
                </c:pt>
                <c:pt idx="2">
                  <c:v>97.8</c:v>
                </c:pt>
                <c:pt idx="3">
                  <c:v>81.599999999999994</c:v>
                </c:pt>
                <c:pt idx="4">
                  <c:v>66.900000000000006</c:v>
                </c:pt>
                <c:pt idx="5">
                  <c:v>53.1</c:v>
                </c:pt>
                <c:pt idx="6">
                  <c:v>50.9</c:v>
                </c:pt>
                <c:pt idx="7">
                  <c:v>57</c:v>
                </c:pt>
                <c:pt idx="8">
                  <c:v>71.900000000000006</c:v>
                </c:pt>
                <c:pt idx="9">
                  <c:v>96.9</c:v>
                </c:pt>
                <c:pt idx="10">
                  <c:v>110.3</c:v>
                </c:pt>
                <c:pt idx="11">
                  <c:v>122</c:v>
                </c:pt>
              </c:numCache>
            </c:numRef>
          </c:val>
        </c:ser>
        <c:ser>
          <c:idx val="5"/>
          <c:order val="5"/>
          <c:tx>
            <c:v>Primavera</c:v>
          </c:tx>
          <c:spPr>
            <a:ln w="3175">
              <a:solidFill>
                <a:prstClr val="black"/>
              </a:solidFill>
            </a:ln>
          </c:spPr>
          <c:marker>
            <c:spPr>
              <a:noFill/>
              <a:ln w="6350">
                <a:solidFill>
                  <a:prstClr val="black"/>
                </a:solidFill>
              </a:ln>
            </c:spPr>
          </c:marker>
          <c:cat>
            <c:strRef>
              <c:f>'zona da mata'!$B$2:$M$2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mata'!$B$8:$M$8</c:f>
              <c:numCache>
                <c:formatCode>General</c:formatCode>
                <c:ptCount val="12"/>
                <c:pt idx="0">
                  <c:v>136</c:v>
                </c:pt>
                <c:pt idx="1">
                  <c:v>121.1</c:v>
                </c:pt>
                <c:pt idx="2">
                  <c:v>130.1</c:v>
                </c:pt>
                <c:pt idx="3">
                  <c:v>117.5</c:v>
                </c:pt>
                <c:pt idx="4">
                  <c:v>104</c:v>
                </c:pt>
                <c:pt idx="5">
                  <c:v>87.5</c:v>
                </c:pt>
                <c:pt idx="6">
                  <c:v>81.400000000000006</c:v>
                </c:pt>
                <c:pt idx="7">
                  <c:v>84.8</c:v>
                </c:pt>
                <c:pt idx="8">
                  <c:v>93.3</c:v>
                </c:pt>
                <c:pt idx="9">
                  <c:v>113.5</c:v>
                </c:pt>
                <c:pt idx="10">
                  <c:v>123.5</c:v>
                </c:pt>
                <c:pt idx="11">
                  <c:v>136.4</c:v>
                </c:pt>
              </c:numCache>
            </c:numRef>
          </c:val>
        </c:ser>
        <c:ser>
          <c:idx val="6"/>
          <c:order val="6"/>
          <c:tx>
            <c:v>Rio Formoso</c:v>
          </c:tx>
          <c:spPr>
            <a:ln w="3175">
              <a:solidFill>
                <a:prstClr val="black"/>
              </a:solidFill>
            </a:ln>
          </c:spPr>
          <c:marker>
            <c:spPr>
              <a:noFill/>
              <a:ln w="6350">
                <a:solidFill>
                  <a:prstClr val="black"/>
                </a:solidFill>
              </a:ln>
            </c:spPr>
          </c:marker>
          <c:cat>
            <c:strRef>
              <c:f>'zona da mata'!$B$2:$M$2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mata'!$B$9:$M$9</c:f>
              <c:numCache>
                <c:formatCode>General</c:formatCode>
                <c:ptCount val="12"/>
                <c:pt idx="0">
                  <c:v>118.5</c:v>
                </c:pt>
                <c:pt idx="1">
                  <c:v>99.1</c:v>
                </c:pt>
                <c:pt idx="2">
                  <c:v>97.8</c:v>
                </c:pt>
                <c:pt idx="3">
                  <c:v>81.599999999999994</c:v>
                </c:pt>
                <c:pt idx="4">
                  <c:v>66.900000000000006</c:v>
                </c:pt>
                <c:pt idx="5">
                  <c:v>53.1</c:v>
                </c:pt>
                <c:pt idx="6">
                  <c:v>50.9</c:v>
                </c:pt>
                <c:pt idx="7">
                  <c:v>57</c:v>
                </c:pt>
                <c:pt idx="8">
                  <c:v>71.900000000000006</c:v>
                </c:pt>
                <c:pt idx="9">
                  <c:v>96.9</c:v>
                </c:pt>
                <c:pt idx="10">
                  <c:v>110.3</c:v>
                </c:pt>
                <c:pt idx="11">
                  <c:v>122</c:v>
                </c:pt>
              </c:numCache>
            </c:numRef>
          </c:val>
        </c:ser>
        <c:ser>
          <c:idx val="7"/>
          <c:order val="7"/>
          <c:tx>
            <c:v>Buenos Aires</c:v>
          </c:tx>
          <c:spPr>
            <a:ln w="3175">
              <a:solidFill>
                <a:prstClr val="black"/>
              </a:solidFill>
            </a:ln>
          </c:spPr>
          <c:marker>
            <c:spPr>
              <a:noFill/>
              <a:ln w="6350">
                <a:solidFill>
                  <a:prstClr val="black"/>
                </a:solidFill>
              </a:ln>
            </c:spPr>
          </c:marker>
          <c:cat>
            <c:strRef>
              <c:f>'zona da mata'!$B$2:$M$2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mata'!$B$10:$M$10</c:f>
              <c:numCache>
                <c:formatCode>General</c:formatCode>
                <c:ptCount val="12"/>
                <c:pt idx="0">
                  <c:v>158.1</c:v>
                </c:pt>
                <c:pt idx="1">
                  <c:v>132.6</c:v>
                </c:pt>
                <c:pt idx="2">
                  <c:v>132.30000000000001</c:v>
                </c:pt>
                <c:pt idx="3">
                  <c:v>110</c:v>
                </c:pt>
                <c:pt idx="4">
                  <c:v>92.7</c:v>
                </c:pt>
                <c:pt idx="5">
                  <c:v>74.599999999999994</c:v>
                </c:pt>
                <c:pt idx="6">
                  <c:v>72.400000000000006</c:v>
                </c:pt>
                <c:pt idx="7">
                  <c:v>80.8</c:v>
                </c:pt>
                <c:pt idx="8">
                  <c:v>96.4</c:v>
                </c:pt>
                <c:pt idx="9">
                  <c:v>124.4</c:v>
                </c:pt>
                <c:pt idx="10">
                  <c:v>141.69999999999999</c:v>
                </c:pt>
                <c:pt idx="11">
                  <c:v>158.69999999999999</c:v>
                </c:pt>
              </c:numCache>
            </c:numRef>
          </c:val>
        </c:ser>
        <c:ser>
          <c:idx val="8"/>
          <c:order val="8"/>
          <c:tx>
            <c:v>Carpina</c:v>
          </c:tx>
          <c:spPr>
            <a:ln w="3175">
              <a:solidFill>
                <a:prstClr val="black"/>
              </a:solidFill>
            </a:ln>
          </c:spPr>
          <c:marker>
            <c:spPr>
              <a:noFill/>
              <a:ln w="6350">
                <a:solidFill>
                  <a:prstClr val="black"/>
                </a:solidFill>
              </a:ln>
            </c:spPr>
          </c:marker>
          <c:cat>
            <c:strRef>
              <c:f>'zona da mata'!$B$2:$M$2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mata'!$B$11:$M$11</c:f>
              <c:numCache>
                <c:formatCode>General</c:formatCode>
                <c:ptCount val="12"/>
                <c:pt idx="0">
                  <c:v>151.19999999999999</c:v>
                </c:pt>
                <c:pt idx="1">
                  <c:v>128.4</c:v>
                </c:pt>
                <c:pt idx="2">
                  <c:v>128.19999999999999</c:v>
                </c:pt>
                <c:pt idx="3">
                  <c:v>106.6</c:v>
                </c:pt>
                <c:pt idx="4">
                  <c:v>90.1</c:v>
                </c:pt>
                <c:pt idx="5">
                  <c:v>71.8</c:v>
                </c:pt>
                <c:pt idx="6">
                  <c:v>68.8</c:v>
                </c:pt>
                <c:pt idx="7">
                  <c:v>76.8</c:v>
                </c:pt>
                <c:pt idx="8">
                  <c:v>91.4</c:v>
                </c:pt>
                <c:pt idx="9">
                  <c:v>117.8</c:v>
                </c:pt>
                <c:pt idx="10">
                  <c:v>135.19999999999999</c:v>
                </c:pt>
                <c:pt idx="11">
                  <c:v>151.80000000000001</c:v>
                </c:pt>
              </c:numCache>
            </c:numRef>
          </c:val>
        </c:ser>
        <c:ser>
          <c:idx val="9"/>
          <c:order val="9"/>
          <c:tx>
            <c:v>Goiana</c:v>
          </c:tx>
          <c:spPr>
            <a:ln w="3175">
              <a:solidFill>
                <a:prstClr val="black"/>
              </a:solidFill>
            </a:ln>
          </c:spPr>
          <c:marker>
            <c:spPr>
              <a:noFill/>
              <a:ln w="6350">
                <a:solidFill>
                  <a:prstClr val="black"/>
                </a:solidFill>
              </a:ln>
            </c:spPr>
          </c:marker>
          <c:cat>
            <c:strRef>
              <c:f>'zona da mata'!$B$2:$M$2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mata'!$B$12:$M$12</c:f>
              <c:numCache>
                <c:formatCode>General</c:formatCode>
                <c:ptCount val="12"/>
                <c:pt idx="0">
                  <c:v>159.80000000000001</c:v>
                </c:pt>
                <c:pt idx="1">
                  <c:v>135.69999999999999</c:v>
                </c:pt>
                <c:pt idx="2">
                  <c:v>135.4</c:v>
                </c:pt>
                <c:pt idx="3">
                  <c:v>112.9</c:v>
                </c:pt>
                <c:pt idx="4">
                  <c:v>95.9</c:v>
                </c:pt>
                <c:pt idx="5">
                  <c:v>77.099999999999994</c:v>
                </c:pt>
                <c:pt idx="6">
                  <c:v>74.099999999999994</c:v>
                </c:pt>
                <c:pt idx="7">
                  <c:v>82.4</c:v>
                </c:pt>
                <c:pt idx="8">
                  <c:v>98.4</c:v>
                </c:pt>
                <c:pt idx="9">
                  <c:v>127.2</c:v>
                </c:pt>
                <c:pt idx="10">
                  <c:v>144.5</c:v>
                </c:pt>
                <c:pt idx="11">
                  <c:v>162.4</c:v>
                </c:pt>
              </c:numCache>
            </c:numRef>
          </c:val>
        </c:ser>
        <c:ser>
          <c:idx val="10"/>
          <c:order val="10"/>
          <c:tx>
            <c:v>S. L. da Mata</c:v>
          </c:tx>
          <c:spPr>
            <a:ln w="3175">
              <a:solidFill>
                <a:prstClr val="black"/>
              </a:solidFill>
            </a:ln>
          </c:spPr>
          <c:marker>
            <c:spPr>
              <a:noFill/>
              <a:ln w="6350">
                <a:solidFill>
                  <a:prstClr val="black"/>
                </a:solidFill>
              </a:ln>
            </c:spPr>
          </c:marker>
          <c:cat>
            <c:strRef>
              <c:f>'zona da mata'!$B$2:$M$2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mata'!$B$13:$M$13</c:f>
              <c:numCache>
                <c:formatCode>General</c:formatCode>
                <c:ptCount val="12"/>
                <c:pt idx="0">
                  <c:v>147.69999999999999</c:v>
                </c:pt>
                <c:pt idx="1">
                  <c:v>131.6</c:v>
                </c:pt>
                <c:pt idx="2">
                  <c:v>143.1</c:v>
                </c:pt>
                <c:pt idx="3">
                  <c:v>125.8</c:v>
                </c:pt>
                <c:pt idx="4">
                  <c:v>113.5</c:v>
                </c:pt>
                <c:pt idx="5">
                  <c:v>94.7</c:v>
                </c:pt>
                <c:pt idx="6">
                  <c:v>90.2</c:v>
                </c:pt>
                <c:pt idx="7">
                  <c:v>94.1</c:v>
                </c:pt>
                <c:pt idx="8">
                  <c:v>103.9</c:v>
                </c:pt>
                <c:pt idx="9">
                  <c:v>125.3</c:v>
                </c:pt>
                <c:pt idx="10">
                  <c:v>134.80000000000001</c:v>
                </c:pt>
                <c:pt idx="11">
                  <c:v>148.1</c:v>
                </c:pt>
              </c:numCache>
            </c:numRef>
          </c:val>
        </c:ser>
        <c:ser>
          <c:idx val="11"/>
          <c:order val="11"/>
          <c:tx>
            <c:v>V. de Sto. Antão</c:v>
          </c:tx>
          <c:spPr>
            <a:ln w="3175">
              <a:solidFill>
                <a:prstClr val="black"/>
              </a:solidFill>
            </a:ln>
          </c:spPr>
          <c:marker>
            <c:spPr>
              <a:noFill/>
              <a:ln>
                <a:solidFill>
                  <a:prstClr val="black"/>
                </a:solidFill>
              </a:ln>
            </c:spPr>
          </c:marker>
          <c:cat>
            <c:strRef>
              <c:f>'zona da mata'!$B$2:$M$2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mata'!$B$14:$M$14</c:f>
              <c:numCache>
                <c:formatCode>General</c:formatCode>
                <c:ptCount val="12"/>
                <c:pt idx="0">
                  <c:v>137.4</c:v>
                </c:pt>
                <c:pt idx="1">
                  <c:v>122.5</c:v>
                </c:pt>
                <c:pt idx="2">
                  <c:v>129.9</c:v>
                </c:pt>
                <c:pt idx="3">
                  <c:v>117.3</c:v>
                </c:pt>
                <c:pt idx="4">
                  <c:v>106.3</c:v>
                </c:pt>
                <c:pt idx="5">
                  <c:v>88.2</c:v>
                </c:pt>
                <c:pt idx="6">
                  <c:v>83.1</c:v>
                </c:pt>
                <c:pt idx="7">
                  <c:v>86.6</c:v>
                </c:pt>
                <c:pt idx="8">
                  <c:v>95.3</c:v>
                </c:pt>
                <c:pt idx="9">
                  <c:v>116</c:v>
                </c:pt>
                <c:pt idx="10">
                  <c:v>124.4</c:v>
                </c:pt>
                <c:pt idx="11">
                  <c:v>137.9</c:v>
                </c:pt>
              </c:numCache>
            </c:numRef>
          </c:val>
        </c:ser>
        <c:marker val="1"/>
        <c:axId val="136821376"/>
        <c:axId val="136828032"/>
      </c:lineChart>
      <c:catAx>
        <c:axId val="136821376"/>
        <c:scaling>
          <c:orientation val="minMax"/>
        </c:scaling>
        <c:axPos val="b"/>
        <c:title>
          <c:tx>
            <c:rich>
              <a:bodyPr/>
              <a:lstStyle/>
              <a:p>
                <a:pPr>
                  <a:defRPr sz="800" b="1">
                    <a:latin typeface="Times New Roman" pitchFamily="18" charset="0"/>
                    <a:cs typeface="Times New Roman" pitchFamily="18" charset="0"/>
                  </a:defRPr>
                </a:pPr>
                <a:r>
                  <a:rPr lang="pt-BR" sz="800" b="1">
                    <a:latin typeface="Times New Roman" pitchFamily="18" charset="0"/>
                    <a:cs typeface="Times New Roman" pitchFamily="18" charset="0"/>
                  </a:rPr>
                  <a:t>Months</a:t>
                </a:r>
              </a:p>
            </c:rich>
          </c:tx>
          <c:layout>
            <c:manualLayout>
              <c:xMode val="edge"/>
              <c:yMode val="edge"/>
              <c:x val="0.48420136331879382"/>
              <c:y val="0.71777373737373806"/>
            </c:manualLayout>
          </c:layout>
        </c:title>
        <c:numFmt formatCode="General" sourceLinked="1"/>
        <c:majorTickMark val="none"/>
        <c:minorTickMark val="out"/>
        <c:tickLblPos val="nextTo"/>
        <c:spPr>
          <a:ln w="3175">
            <a:solidFill>
              <a:schemeClr val="tx1"/>
            </a:solidFill>
          </a:ln>
        </c:spPr>
        <c:txPr>
          <a:bodyPr rot="-5400000" vert="horz"/>
          <a:lstStyle/>
          <a:p>
            <a:pPr>
              <a:defRPr sz="800" b="0" i="0" u="none" strike="noStrike" baseline="0">
                <a:solidFill>
                  <a:srgbClr val="000000"/>
                </a:solidFill>
                <a:latin typeface="Times New Roman"/>
                <a:ea typeface="Times New Roman"/>
                <a:cs typeface="Times New Roman"/>
              </a:defRPr>
            </a:pPr>
            <a:endParaRPr lang="pt-BR"/>
          </a:p>
        </c:txPr>
        <c:crossAx val="136828032"/>
        <c:crosses val="autoZero"/>
        <c:auto val="1"/>
        <c:lblAlgn val="ctr"/>
        <c:lblOffset val="100"/>
      </c:catAx>
      <c:valAx>
        <c:axId val="136828032"/>
        <c:scaling>
          <c:orientation val="minMax"/>
          <c:max val="220"/>
          <c:min val="40"/>
        </c:scaling>
        <c:axPos val="l"/>
        <c:title>
          <c:tx>
            <c:rich>
              <a:bodyPr/>
              <a:lstStyle/>
              <a:p>
                <a:pPr>
                  <a:defRPr sz="800" b="1" i="0" u="none" strike="noStrike" baseline="0">
                    <a:solidFill>
                      <a:srgbClr val="000000"/>
                    </a:solidFill>
                    <a:latin typeface="Times New Roman"/>
                    <a:ea typeface="Times New Roman"/>
                    <a:cs typeface="Times New Roman"/>
                  </a:defRPr>
                </a:pPr>
                <a:r>
                  <a:rPr lang="pt-BR" sz="800" b="1" i="0" u="none" strike="noStrike" baseline="0"/>
                  <a:t>PET (mm month</a:t>
                </a:r>
                <a:r>
                  <a:rPr lang="pt-BR" sz="800" b="1" i="0" u="none" strike="noStrike" baseline="30000"/>
                  <a:t>-1</a:t>
                </a:r>
                <a:r>
                  <a:rPr lang="pt-BR" sz="800" b="1" i="0" u="none" strike="noStrike" baseline="0"/>
                  <a:t>)</a:t>
                </a:r>
                <a:r>
                  <a:rPr lang="pt-BR" sz="800"/>
                  <a:t>          </a:t>
                </a:r>
              </a:p>
            </c:rich>
          </c:tx>
          <c:spPr>
            <a:noFill/>
            <a:ln w="25400">
              <a:noFill/>
            </a:ln>
          </c:spPr>
        </c:title>
        <c:numFmt formatCode="General" sourceLinked="1"/>
        <c:tickLblPos val="nextTo"/>
        <c:spPr>
          <a:ln w="3175">
            <a:solidFill>
              <a:schemeClr val="tx1"/>
            </a:solidFill>
          </a:ln>
        </c:spPr>
        <c:txPr>
          <a:bodyPr rot="0" vert="horz"/>
          <a:lstStyle/>
          <a:p>
            <a:pPr>
              <a:defRPr sz="800" b="0" i="0" u="none" strike="noStrike" baseline="0">
                <a:solidFill>
                  <a:srgbClr val="000000"/>
                </a:solidFill>
                <a:latin typeface="Times New Roman"/>
                <a:ea typeface="Times New Roman"/>
                <a:cs typeface="Times New Roman"/>
              </a:defRPr>
            </a:pPr>
            <a:endParaRPr lang="pt-BR"/>
          </a:p>
        </c:txPr>
        <c:crossAx val="136821376"/>
        <c:crosses val="autoZero"/>
        <c:crossBetween val="between"/>
      </c:valAx>
      <c:spPr>
        <a:noFill/>
        <a:ln w="19050"/>
      </c:spPr>
    </c:plotArea>
    <c:legend>
      <c:legendPos val="r"/>
      <c:layout>
        <c:manualLayout>
          <c:xMode val="edge"/>
          <c:yMode val="edge"/>
          <c:x val="0"/>
          <c:y val="0.82799833856178795"/>
          <c:w val="0.99521214561274851"/>
          <c:h val="0.1695516704479737"/>
        </c:manualLayout>
      </c:layout>
      <c:spPr>
        <a:noFill/>
      </c:spPr>
      <c:txPr>
        <a:bodyPr/>
        <a:lstStyle/>
        <a:p>
          <a:pPr>
            <a:defRPr sz="600" b="0" i="0" u="none" strike="noStrike" baseline="0">
              <a:solidFill>
                <a:srgbClr val="000000"/>
              </a:solidFill>
              <a:latin typeface="Times New Roman"/>
              <a:ea typeface="Times New Roman"/>
              <a:cs typeface="Times New Roman"/>
            </a:defRPr>
          </a:pPr>
          <a:endParaRPr lang="pt-BR"/>
        </a:p>
      </c:txPr>
    </c:legend>
    <c:plotVisOnly val="1"/>
    <c:dispBlanksAs val="gap"/>
  </c:chart>
  <c:spPr>
    <a:solidFill>
      <a:schemeClr val="bg1"/>
    </a:solidFill>
    <a:ln w="3175">
      <a:noFill/>
    </a:ln>
  </c:spPr>
  <c:txPr>
    <a:bodyPr/>
    <a:lstStyle/>
    <a:p>
      <a:pPr>
        <a:defRPr sz="1000" b="0" i="0" u="none" strike="noStrike" baseline="0">
          <a:solidFill>
            <a:srgbClr val="000000"/>
          </a:solidFill>
          <a:latin typeface="Calibri"/>
          <a:ea typeface="Calibri"/>
          <a:cs typeface="Calibri"/>
        </a:defRPr>
      </a:pPr>
      <a:endParaRPr lang="pt-BR"/>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pt-BR"/>
  <c:style val="1"/>
  <c:chart>
    <c:plotArea>
      <c:layout>
        <c:manualLayout>
          <c:layoutTarget val="inner"/>
          <c:xMode val="edge"/>
          <c:yMode val="edge"/>
          <c:x val="0.17611073318216497"/>
          <c:y val="5.2229756681292247E-2"/>
          <c:w val="0.79436470143612958"/>
          <c:h val="0.50422299913183921"/>
        </c:manualLayout>
      </c:layout>
      <c:lineChart>
        <c:grouping val="standard"/>
        <c:ser>
          <c:idx val="0"/>
          <c:order val="0"/>
          <c:tx>
            <c:v>Águas Belas</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agreste!$B$2:$M$2</c:f>
              <c:numCache>
                <c:formatCode>General</c:formatCode>
                <c:ptCount val="12"/>
                <c:pt idx="0">
                  <c:v>136.6</c:v>
                </c:pt>
                <c:pt idx="1">
                  <c:v>120.3</c:v>
                </c:pt>
                <c:pt idx="2">
                  <c:v>129.19999999999999</c:v>
                </c:pt>
                <c:pt idx="3">
                  <c:v>114.9</c:v>
                </c:pt>
                <c:pt idx="4">
                  <c:v>100.1</c:v>
                </c:pt>
                <c:pt idx="5">
                  <c:v>82</c:v>
                </c:pt>
                <c:pt idx="6">
                  <c:v>75.2</c:v>
                </c:pt>
                <c:pt idx="7">
                  <c:v>79.400000000000006</c:v>
                </c:pt>
                <c:pt idx="8">
                  <c:v>92.6</c:v>
                </c:pt>
                <c:pt idx="9">
                  <c:v>118.3</c:v>
                </c:pt>
                <c:pt idx="10">
                  <c:v>128.80000000000001</c:v>
                </c:pt>
                <c:pt idx="11">
                  <c:v>135.80000000000001</c:v>
                </c:pt>
              </c:numCache>
            </c:numRef>
          </c:val>
        </c:ser>
        <c:ser>
          <c:idx val="1"/>
          <c:order val="1"/>
          <c:tx>
            <c:v>Alagoinha</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agreste!$B$3:$M$3</c:f>
              <c:numCache>
                <c:formatCode>General</c:formatCode>
                <c:ptCount val="12"/>
                <c:pt idx="0">
                  <c:v>118.5</c:v>
                </c:pt>
                <c:pt idx="1">
                  <c:v>99.1</c:v>
                </c:pt>
                <c:pt idx="2">
                  <c:v>97.8</c:v>
                </c:pt>
                <c:pt idx="3">
                  <c:v>81.599999999999994</c:v>
                </c:pt>
                <c:pt idx="4">
                  <c:v>66.900000000000006</c:v>
                </c:pt>
                <c:pt idx="5">
                  <c:v>53.1</c:v>
                </c:pt>
                <c:pt idx="6">
                  <c:v>50.9</c:v>
                </c:pt>
                <c:pt idx="7">
                  <c:v>57</c:v>
                </c:pt>
                <c:pt idx="8">
                  <c:v>71.900000000000006</c:v>
                </c:pt>
                <c:pt idx="9">
                  <c:v>96.9</c:v>
                </c:pt>
                <c:pt idx="10">
                  <c:v>110.3</c:v>
                </c:pt>
                <c:pt idx="11">
                  <c:v>122</c:v>
                </c:pt>
              </c:numCache>
            </c:numRef>
          </c:val>
        </c:ser>
        <c:ser>
          <c:idx val="2"/>
          <c:order val="2"/>
          <c:tx>
            <c:v>Bezerros</c:v>
          </c:tx>
          <c:spPr>
            <a:ln w="3175">
              <a:solidFill>
                <a:schemeClr val="tx1"/>
              </a:solidFill>
            </a:ln>
          </c:spPr>
          <c:marker>
            <c:spPr>
              <a:noFill/>
              <a:ln w="6350">
                <a:solidFill>
                  <a:schemeClr val="tx1"/>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agreste!$B$4:$M$4</c:f>
              <c:numCache>
                <c:formatCode>General</c:formatCode>
                <c:ptCount val="12"/>
                <c:pt idx="0">
                  <c:v>176.7</c:v>
                </c:pt>
                <c:pt idx="1">
                  <c:v>145.4</c:v>
                </c:pt>
                <c:pt idx="2">
                  <c:v>139.69999999999999</c:v>
                </c:pt>
                <c:pt idx="3">
                  <c:v>108.9</c:v>
                </c:pt>
                <c:pt idx="4">
                  <c:v>89.8</c:v>
                </c:pt>
                <c:pt idx="5">
                  <c:v>72.7</c:v>
                </c:pt>
                <c:pt idx="6">
                  <c:v>71.599999999999994</c:v>
                </c:pt>
                <c:pt idx="7">
                  <c:v>90.5</c:v>
                </c:pt>
                <c:pt idx="8">
                  <c:v>125.7</c:v>
                </c:pt>
                <c:pt idx="9">
                  <c:v>165.6</c:v>
                </c:pt>
                <c:pt idx="10">
                  <c:v>174.9</c:v>
                </c:pt>
                <c:pt idx="11">
                  <c:v>184.3</c:v>
                </c:pt>
              </c:numCache>
            </c:numRef>
          </c:val>
        </c:ser>
        <c:ser>
          <c:idx val="3"/>
          <c:order val="3"/>
          <c:tx>
            <c:v>Caruaru</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agreste!$B$5:$M$5</c:f>
              <c:numCache>
                <c:formatCode>General</c:formatCode>
                <c:ptCount val="12"/>
                <c:pt idx="0">
                  <c:v>115.5</c:v>
                </c:pt>
                <c:pt idx="1">
                  <c:v>101.7</c:v>
                </c:pt>
                <c:pt idx="2">
                  <c:v>108.2</c:v>
                </c:pt>
                <c:pt idx="3">
                  <c:v>98</c:v>
                </c:pt>
                <c:pt idx="4">
                  <c:v>88.6</c:v>
                </c:pt>
                <c:pt idx="5">
                  <c:v>73.3</c:v>
                </c:pt>
                <c:pt idx="6">
                  <c:v>69.599999999999994</c:v>
                </c:pt>
                <c:pt idx="7">
                  <c:v>72.400000000000006</c:v>
                </c:pt>
                <c:pt idx="8">
                  <c:v>81.099999999999994</c:v>
                </c:pt>
                <c:pt idx="9">
                  <c:v>98.7</c:v>
                </c:pt>
                <c:pt idx="10">
                  <c:v>107.5</c:v>
                </c:pt>
                <c:pt idx="11">
                  <c:v>115.8</c:v>
                </c:pt>
              </c:numCache>
            </c:numRef>
          </c:val>
        </c:ser>
        <c:ser>
          <c:idx val="4"/>
          <c:order val="4"/>
          <c:tx>
            <c:v>Gravatá</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agreste!$B$6:$M$6</c:f>
              <c:numCache>
                <c:formatCode>General</c:formatCode>
                <c:ptCount val="12"/>
                <c:pt idx="0">
                  <c:v>114.4</c:v>
                </c:pt>
                <c:pt idx="1">
                  <c:v>101.9</c:v>
                </c:pt>
                <c:pt idx="2">
                  <c:v>109.6</c:v>
                </c:pt>
                <c:pt idx="3">
                  <c:v>100.3</c:v>
                </c:pt>
                <c:pt idx="4">
                  <c:v>88.9</c:v>
                </c:pt>
                <c:pt idx="5">
                  <c:v>73.7</c:v>
                </c:pt>
                <c:pt idx="6">
                  <c:v>68.099999999999994</c:v>
                </c:pt>
                <c:pt idx="7">
                  <c:v>70</c:v>
                </c:pt>
                <c:pt idx="8">
                  <c:v>77.5</c:v>
                </c:pt>
                <c:pt idx="9">
                  <c:v>95.6</c:v>
                </c:pt>
                <c:pt idx="10">
                  <c:v>104.4</c:v>
                </c:pt>
                <c:pt idx="11">
                  <c:v>113.5</c:v>
                </c:pt>
              </c:numCache>
            </c:numRef>
          </c:val>
        </c:ser>
        <c:ser>
          <c:idx val="5"/>
          <c:order val="5"/>
          <c:tx>
            <c:v>Pesqueira</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agreste!$B$7:$M$7</c:f>
              <c:numCache>
                <c:formatCode>General</c:formatCode>
                <c:ptCount val="12"/>
                <c:pt idx="0">
                  <c:v>134.5</c:v>
                </c:pt>
                <c:pt idx="1">
                  <c:v>110</c:v>
                </c:pt>
                <c:pt idx="2">
                  <c:v>104.9</c:v>
                </c:pt>
                <c:pt idx="3">
                  <c:v>87.3</c:v>
                </c:pt>
                <c:pt idx="4">
                  <c:v>70.3</c:v>
                </c:pt>
                <c:pt idx="5">
                  <c:v>56.3</c:v>
                </c:pt>
                <c:pt idx="6">
                  <c:v>55</c:v>
                </c:pt>
                <c:pt idx="7">
                  <c:v>62.4</c:v>
                </c:pt>
                <c:pt idx="8">
                  <c:v>78.099999999999994</c:v>
                </c:pt>
                <c:pt idx="9">
                  <c:v>103.6</c:v>
                </c:pt>
                <c:pt idx="10">
                  <c:v>122.5</c:v>
                </c:pt>
                <c:pt idx="11">
                  <c:v>135.6</c:v>
                </c:pt>
              </c:numCache>
            </c:numRef>
          </c:val>
        </c:ser>
        <c:ser>
          <c:idx val="6"/>
          <c:order val="6"/>
          <c:tx>
            <c:v>Cimbres</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agreste!$B$8:$M$8</c:f>
              <c:numCache>
                <c:formatCode>General</c:formatCode>
                <c:ptCount val="12"/>
                <c:pt idx="0">
                  <c:v>113.1</c:v>
                </c:pt>
                <c:pt idx="1">
                  <c:v>93.9</c:v>
                </c:pt>
                <c:pt idx="2">
                  <c:v>92.5</c:v>
                </c:pt>
                <c:pt idx="3">
                  <c:v>77.2</c:v>
                </c:pt>
                <c:pt idx="4">
                  <c:v>63.4</c:v>
                </c:pt>
                <c:pt idx="5">
                  <c:v>50.5</c:v>
                </c:pt>
                <c:pt idx="6">
                  <c:v>48.4</c:v>
                </c:pt>
                <c:pt idx="7">
                  <c:v>54.9</c:v>
                </c:pt>
                <c:pt idx="8">
                  <c:v>69</c:v>
                </c:pt>
                <c:pt idx="9">
                  <c:v>93.7</c:v>
                </c:pt>
                <c:pt idx="10">
                  <c:v>106.4</c:v>
                </c:pt>
                <c:pt idx="11">
                  <c:v>116.4</c:v>
                </c:pt>
              </c:numCache>
            </c:numRef>
          </c:val>
        </c:ser>
        <c:ser>
          <c:idx val="7"/>
          <c:order val="7"/>
          <c:tx>
            <c:v>São Caetano</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agreste!$B$9:$M$9</c:f>
              <c:numCache>
                <c:formatCode>General</c:formatCode>
                <c:ptCount val="12"/>
                <c:pt idx="0">
                  <c:v>112.5</c:v>
                </c:pt>
                <c:pt idx="1">
                  <c:v>100.2</c:v>
                </c:pt>
                <c:pt idx="2">
                  <c:v>105.4</c:v>
                </c:pt>
                <c:pt idx="3">
                  <c:v>95.6</c:v>
                </c:pt>
                <c:pt idx="4">
                  <c:v>85.6</c:v>
                </c:pt>
                <c:pt idx="5">
                  <c:v>71</c:v>
                </c:pt>
                <c:pt idx="6">
                  <c:v>67.400000000000006</c:v>
                </c:pt>
                <c:pt idx="7">
                  <c:v>69.2</c:v>
                </c:pt>
                <c:pt idx="8">
                  <c:v>77.5</c:v>
                </c:pt>
                <c:pt idx="9">
                  <c:v>96.4</c:v>
                </c:pt>
                <c:pt idx="10">
                  <c:v>103.9</c:v>
                </c:pt>
                <c:pt idx="11">
                  <c:v>112.8</c:v>
                </c:pt>
              </c:numCache>
            </c:numRef>
          </c:val>
        </c:ser>
        <c:ser>
          <c:idx val="8"/>
          <c:order val="8"/>
          <c:tx>
            <c:v>São B. do Una</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agreste!$B$10:$M$10</c:f>
              <c:numCache>
                <c:formatCode>General</c:formatCode>
                <c:ptCount val="12"/>
                <c:pt idx="0">
                  <c:v>107.7</c:v>
                </c:pt>
                <c:pt idx="1">
                  <c:v>95.9</c:v>
                </c:pt>
                <c:pt idx="2">
                  <c:v>101</c:v>
                </c:pt>
                <c:pt idx="3">
                  <c:v>91.7</c:v>
                </c:pt>
                <c:pt idx="4">
                  <c:v>81.3</c:v>
                </c:pt>
                <c:pt idx="5">
                  <c:v>67.599999999999994</c:v>
                </c:pt>
                <c:pt idx="6">
                  <c:v>63.2</c:v>
                </c:pt>
                <c:pt idx="7">
                  <c:v>65.099999999999994</c:v>
                </c:pt>
                <c:pt idx="8">
                  <c:v>73.7</c:v>
                </c:pt>
                <c:pt idx="9">
                  <c:v>92.6</c:v>
                </c:pt>
                <c:pt idx="10">
                  <c:v>100.7</c:v>
                </c:pt>
                <c:pt idx="11">
                  <c:v>108.3</c:v>
                </c:pt>
              </c:numCache>
            </c:numRef>
          </c:val>
        </c:ser>
        <c:ser>
          <c:idx val="9"/>
          <c:order val="9"/>
          <c:tx>
            <c:v>Correntes</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agreste!$B$11:$M$11</c:f>
              <c:numCache>
                <c:formatCode>General</c:formatCode>
                <c:ptCount val="12"/>
                <c:pt idx="0">
                  <c:v>118.2</c:v>
                </c:pt>
                <c:pt idx="1">
                  <c:v>106.5</c:v>
                </c:pt>
                <c:pt idx="2">
                  <c:v>117.1</c:v>
                </c:pt>
                <c:pt idx="3">
                  <c:v>98.9</c:v>
                </c:pt>
                <c:pt idx="4">
                  <c:v>86.9</c:v>
                </c:pt>
                <c:pt idx="5">
                  <c:v>70.900000000000006</c:v>
                </c:pt>
                <c:pt idx="6">
                  <c:v>66.2</c:v>
                </c:pt>
                <c:pt idx="7">
                  <c:v>66.2</c:v>
                </c:pt>
                <c:pt idx="8">
                  <c:v>76.7</c:v>
                </c:pt>
                <c:pt idx="9">
                  <c:v>98.4</c:v>
                </c:pt>
                <c:pt idx="10">
                  <c:v>115.5</c:v>
                </c:pt>
                <c:pt idx="11">
                  <c:v>125.7</c:v>
                </c:pt>
              </c:numCache>
            </c:numRef>
          </c:val>
        </c:ser>
        <c:ser>
          <c:idx val="10"/>
          <c:order val="10"/>
          <c:tx>
            <c:v>Garanhuns</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agreste!$B$12:$M$12</c:f>
              <c:numCache>
                <c:formatCode>General</c:formatCode>
                <c:ptCount val="12"/>
                <c:pt idx="0">
                  <c:v>92.3</c:v>
                </c:pt>
                <c:pt idx="1">
                  <c:v>83.9</c:v>
                </c:pt>
                <c:pt idx="2">
                  <c:v>89.2</c:v>
                </c:pt>
                <c:pt idx="3">
                  <c:v>81.2</c:v>
                </c:pt>
                <c:pt idx="4">
                  <c:v>72.7</c:v>
                </c:pt>
                <c:pt idx="5">
                  <c:v>60.1</c:v>
                </c:pt>
                <c:pt idx="6">
                  <c:v>55.3</c:v>
                </c:pt>
                <c:pt idx="7">
                  <c:v>56.8</c:v>
                </c:pt>
                <c:pt idx="8">
                  <c:v>63.3</c:v>
                </c:pt>
                <c:pt idx="9">
                  <c:v>80.599999999999994</c:v>
                </c:pt>
                <c:pt idx="10">
                  <c:v>87.1</c:v>
                </c:pt>
                <c:pt idx="11">
                  <c:v>92.6</c:v>
                </c:pt>
              </c:numCache>
            </c:numRef>
          </c:val>
        </c:ser>
        <c:ser>
          <c:idx val="11"/>
          <c:order val="11"/>
          <c:tx>
            <c:v>São J. Monte</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agreste!$B$13:$M$13</c:f>
              <c:numCache>
                <c:formatCode>General</c:formatCode>
                <c:ptCount val="12"/>
                <c:pt idx="0">
                  <c:v>165.2</c:v>
                </c:pt>
                <c:pt idx="1">
                  <c:v>128.9</c:v>
                </c:pt>
                <c:pt idx="2">
                  <c:v>122.4</c:v>
                </c:pt>
                <c:pt idx="3">
                  <c:v>101.4</c:v>
                </c:pt>
                <c:pt idx="4">
                  <c:v>85.9</c:v>
                </c:pt>
                <c:pt idx="5">
                  <c:v>70.3</c:v>
                </c:pt>
                <c:pt idx="6">
                  <c:v>71.099999999999994</c:v>
                </c:pt>
                <c:pt idx="7">
                  <c:v>86.4</c:v>
                </c:pt>
                <c:pt idx="8">
                  <c:v>113.1</c:v>
                </c:pt>
                <c:pt idx="9">
                  <c:v>151.69999999999999</c:v>
                </c:pt>
                <c:pt idx="10">
                  <c:v>162.80000000000001</c:v>
                </c:pt>
                <c:pt idx="11">
                  <c:v>174.8</c:v>
                </c:pt>
              </c:numCache>
            </c:numRef>
          </c:val>
        </c:ser>
        <c:ser>
          <c:idx val="12"/>
          <c:order val="12"/>
          <c:tx>
            <c:v>Bom Jardim</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agreste!$B$14:$M$14</c:f>
              <c:numCache>
                <c:formatCode>General</c:formatCode>
                <c:ptCount val="12"/>
                <c:pt idx="0">
                  <c:v>142.30000000000001</c:v>
                </c:pt>
                <c:pt idx="1">
                  <c:v>120.5</c:v>
                </c:pt>
                <c:pt idx="2">
                  <c:v>120.4</c:v>
                </c:pt>
                <c:pt idx="3">
                  <c:v>100.3</c:v>
                </c:pt>
                <c:pt idx="4">
                  <c:v>83.7</c:v>
                </c:pt>
                <c:pt idx="5">
                  <c:v>66.900000000000006</c:v>
                </c:pt>
                <c:pt idx="6">
                  <c:v>64.5</c:v>
                </c:pt>
                <c:pt idx="7">
                  <c:v>71.7</c:v>
                </c:pt>
                <c:pt idx="8">
                  <c:v>86.6</c:v>
                </c:pt>
                <c:pt idx="9">
                  <c:v>112.5</c:v>
                </c:pt>
                <c:pt idx="10">
                  <c:v>127.6</c:v>
                </c:pt>
                <c:pt idx="11">
                  <c:v>142.9</c:v>
                </c:pt>
              </c:numCache>
            </c:numRef>
          </c:val>
        </c:ser>
        <c:ser>
          <c:idx val="13"/>
          <c:order val="13"/>
          <c:tx>
            <c:v>Limoeiro</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agreste!$B$15:$M$15</c:f>
              <c:numCache>
                <c:formatCode>General</c:formatCode>
                <c:ptCount val="12"/>
                <c:pt idx="0">
                  <c:v>161.9</c:v>
                </c:pt>
                <c:pt idx="1">
                  <c:v>134.1</c:v>
                </c:pt>
                <c:pt idx="2">
                  <c:v>133.69999999999999</c:v>
                </c:pt>
                <c:pt idx="3">
                  <c:v>112.5</c:v>
                </c:pt>
                <c:pt idx="4">
                  <c:v>94.7</c:v>
                </c:pt>
                <c:pt idx="5">
                  <c:v>75.900000000000006</c:v>
                </c:pt>
                <c:pt idx="6">
                  <c:v>72.900000000000006</c:v>
                </c:pt>
                <c:pt idx="7">
                  <c:v>82.3</c:v>
                </c:pt>
                <c:pt idx="8">
                  <c:v>98.5</c:v>
                </c:pt>
                <c:pt idx="9">
                  <c:v>127.3</c:v>
                </c:pt>
                <c:pt idx="10">
                  <c:v>145</c:v>
                </c:pt>
                <c:pt idx="11">
                  <c:v>162.9</c:v>
                </c:pt>
              </c:numCache>
            </c:numRef>
          </c:val>
        </c:ser>
        <c:marker val="1"/>
        <c:axId val="136977024"/>
        <c:axId val="136995968"/>
      </c:lineChart>
      <c:catAx>
        <c:axId val="136977024"/>
        <c:scaling>
          <c:orientation val="minMax"/>
        </c:scaling>
        <c:axPos val="b"/>
        <c:title>
          <c:tx>
            <c:rich>
              <a:bodyPr/>
              <a:lstStyle/>
              <a:p>
                <a:pPr>
                  <a:defRPr sz="800" b="1"/>
                </a:pPr>
                <a:r>
                  <a:rPr lang="pt-BR" sz="800" b="1">
                    <a:latin typeface="Times New Roman" pitchFamily="18" charset="0"/>
                    <a:cs typeface="Times New Roman" pitchFamily="18" charset="0"/>
                  </a:rPr>
                  <a:t>Months</a:t>
                </a:r>
              </a:p>
            </c:rich>
          </c:tx>
          <c:layout>
            <c:manualLayout>
              <c:xMode val="edge"/>
              <c:yMode val="edge"/>
              <c:x val="0.50883249306066958"/>
              <c:y val="0.70201060606060661"/>
            </c:manualLayout>
          </c:layout>
        </c:title>
        <c:numFmt formatCode="General" sourceLinked="1"/>
        <c:majorTickMark val="none"/>
        <c:minorTickMark val="out"/>
        <c:tickLblPos val="nextTo"/>
        <c:spPr>
          <a:ln w="3175">
            <a:solidFill>
              <a:schemeClr val="tx1"/>
            </a:solidFill>
          </a:ln>
        </c:spPr>
        <c:txPr>
          <a:bodyPr rot="-5400000" vert="horz"/>
          <a:lstStyle/>
          <a:p>
            <a:pPr>
              <a:defRPr sz="800" b="0" i="0" u="none" strike="noStrike" baseline="0">
                <a:solidFill>
                  <a:srgbClr val="000000"/>
                </a:solidFill>
                <a:latin typeface="Times New Roman"/>
                <a:ea typeface="Times New Roman"/>
                <a:cs typeface="Times New Roman"/>
              </a:defRPr>
            </a:pPr>
            <a:endParaRPr lang="pt-BR"/>
          </a:p>
        </c:txPr>
        <c:crossAx val="136995968"/>
        <c:crosses val="autoZero"/>
        <c:auto val="1"/>
        <c:lblAlgn val="ctr"/>
        <c:lblOffset val="100"/>
      </c:catAx>
      <c:valAx>
        <c:axId val="136995968"/>
        <c:scaling>
          <c:orientation val="minMax"/>
          <c:max val="220"/>
          <c:min val="40"/>
        </c:scaling>
        <c:axPos val="l"/>
        <c:numFmt formatCode="General" sourceLinked="1"/>
        <c:tickLblPos val="nextTo"/>
        <c:spPr>
          <a:ln w="3175">
            <a:solidFill>
              <a:sysClr val="windowText" lastClr="000000"/>
            </a:solidFill>
          </a:ln>
        </c:spPr>
        <c:txPr>
          <a:bodyPr rot="0" vert="horz"/>
          <a:lstStyle/>
          <a:p>
            <a:pPr>
              <a:defRPr sz="800" b="0" i="0" u="none" strike="noStrike" baseline="0">
                <a:solidFill>
                  <a:srgbClr val="000000"/>
                </a:solidFill>
                <a:latin typeface="Times New Roman"/>
                <a:ea typeface="Times New Roman"/>
                <a:cs typeface="Times New Roman"/>
              </a:defRPr>
            </a:pPr>
            <a:endParaRPr lang="pt-BR"/>
          </a:p>
        </c:txPr>
        <c:crossAx val="136977024"/>
        <c:crosses val="autoZero"/>
        <c:crossBetween val="between"/>
      </c:valAx>
      <c:spPr>
        <a:noFill/>
        <a:ln w="25400">
          <a:noFill/>
        </a:ln>
      </c:spPr>
    </c:plotArea>
    <c:legend>
      <c:legendPos val="r"/>
      <c:layout>
        <c:manualLayout>
          <c:xMode val="edge"/>
          <c:yMode val="edge"/>
          <c:x val="0"/>
          <c:y val="0.8301212687397127"/>
          <c:w val="0.9907235830921145"/>
          <c:h val="0.16987873126028738"/>
        </c:manualLayout>
      </c:layout>
      <c:txPr>
        <a:bodyPr/>
        <a:lstStyle/>
        <a:p>
          <a:pPr>
            <a:defRPr sz="600" b="0" i="0" u="none" strike="noStrike" baseline="0">
              <a:solidFill>
                <a:srgbClr val="000000"/>
              </a:solidFill>
              <a:latin typeface="Times New Roman"/>
              <a:ea typeface="Times New Roman"/>
              <a:cs typeface="Times New Roman"/>
            </a:defRPr>
          </a:pPr>
          <a:endParaRPr lang="pt-BR"/>
        </a:p>
      </c:txPr>
    </c:legend>
    <c:plotVisOnly val="1"/>
    <c:dispBlanksAs val="gap"/>
  </c:chart>
  <c:spPr>
    <a:solidFill>
      <a:schemeClr val="bg1"/>
    </a:solidFill>
    <a:ln>
      <a:noFill/>
    </a:ln>
  </c:spPr>
  <c:txPr>
    <a:bodyPr/>
    <a:lstStyle/>
    <a:p>
      <a:pPr>
        <a:defRPr sz="1000" b="0" i="0" u="none" strike="noStrike" baseline="0">
          <a:solidFill>
            <a:srgbClr val="000000"/>
          </a:solidFill>
          <a:latin typeface="Calibri"/>
          <a:ea typeface="Calibri"/>
          <a:cs typeface="Calibri"/>
        </a:defRPr>
      </a:pPr>
      <a:endParaRPr lang="pt-BR"/>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pt-BR"/>
  <c:style val="1"/>
  <c:chart>
    <c:plotArea>
      <c:layout>
        <c:manualLayout>
          <c:layoutTarget val="inner"/>
          <c:xMode val="edge"/>
          <c:yMode val="edge"/>
          <c:x val="0.16046266889669841"/>
          <c:y val="3.362322247032562E-2"/>
          <c:w val="0.81907391051059131"/>
          <c:h val="0.58719896580091491"/>
        </c:manualLayout>
      </c:layout>
      <c:lineChart>
        <c:grouping val="standard"/>
        <c:ser>
          <c:idx val="0"/>
          <c:order val="0"/>
          <c:tx>
            <c:v>Floresta</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francisco'!$B$2:$M$2</c:f>
              <c:numCache>
                <c:formatCode>General</c:formatCode>
                <c:ptCount val="12"/>
                <c:pt idx="0">
                  <c:v>161</c:v>
                </c:pt>
                <c:pt idx="1">
                  <c:v>137.30000000000001</c:v>
                </c:pt>
                <c:pt idx="2">
                  <c:v>146.19999999999999</c:v>
                </c:pt>
                <c:pt idx="3">
                  <c:v>135.69999999999999</c:v>
                </c:pt>
                <c:pt idx="4">
                  <c:v>111.9</c:v>
                </c:pt>
                <c:pt idx="5">
                  <c:v>87.1</c:v>
                </c:pt>
                <c:pt idx="6">
                  <c:v>79.5</c:v>
                </c:pt>
                <c:pt idx="7">
                  <c:v>93</c:v>
                </c:pt>
                <c:pt idx="8">
                  <c:v>123.4</c:v>
                </c:pt>
                <c:pt idx="9">
                  <c:v>154.4</c:v>
                </c:pt>
                <c:pt idx="10">
                  <c:v>158.1</c:v>
                </c:pt>
                <c:pt idx="11">
                  <c:v>161.5</c:v>
                </c:pt>
              </c:numCache>
            </c:numRef>
          </c:val>
        </c:ser>
        <c:ser>
          <c:idx val="1"/>
          <c:order val="1"/>
          <c:tx>
            <c:v>Tacaratu</c:v>
          </c:tx>
          <c:spPr>
            <a:ln w="3175">
              <a:solidFill>
                <a:sysClr val="windowText" lastClr="000000"/>
              </a:solidFill>
            </a:ln>
          </c:spPr>
          <c:marker>
            <c:spPr>
              <a:noFill/>
              <a:ln w="6350"/>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francisco'!$B$3:$M$3</c:f>
              <c:numCache>
                <c:formatCode>General</c:formatCode>
                <c:ptCount val="12"/>
                <c:pt idx="0">
                  <c:v>126.7</c:v>
                </c:pt>
                <c:pt idx="1">
                  <c:v>111.6</c:v>
                </c:pt>
                <c:pt idx="2">
                  <c:v>117.1</c:v>
                </c:pt>
                <c:pt idx="3">
                  <c:v>105.6</c:v>
                </c:pt>
                <c:pt idx="4">
                  <c:v>92.4</c:v>
                </c:pt>
                <c:pt idx="5">
                  <c:v>75.900000000000006</c:v>
                </c:pt>
                <c:pt idx="6">
                  <c:v>69.8</c:v>
                </c:pt>
                <c:pt idx="7">
                  <c:v>73.7</c:v>
                </c:pt>
                <c:pt idx="8">
                  <c:v>90.1</c:v>
                </c:pt>
                <c:pt idx="9">
                  <c:v>115.5</c:v>
                </c:pt>
                <c:pt idx="10">
                  <c:v>122.3</c:v>
                </c:pt>
                <c:pt idx="11">
                  <c:v>127.5</c:v>
                </c:pt>
              </c:numCache>
            </c:numRef>
          </c:val>
        </c:ser>
        <c:ser>
          <c:idx val="2"/>
          <c:order val="2"/>
          <c:tx>
            <c:v>Cabrobó</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francisco'!$B$4:$M$4</c:f>
              <c:numCache>
                <c:formatCode>General</c:formatCode>
                <c:ptCount val="12"/>
                <c:pt idx="0">
                  <c:v>150.9</c:v>
                </c:pt>
                <c:pt idx="1">
                  <c:v>131.6</c:v>
                </c:pt>
                <c:pt idx="2">
                  <c:v>143.1</c:v>
                </c:pt>
                <c:pt idx="3">
                  <c:v>124.1</c:v>
                </c:pt>
                <c:pt idx="4">
                  <c:v>111.2</c:v>
                </c:pt>
                <c:pt idx="5">
                  <c:v>95</c:v>
                </c:pt>
                <c:pt idx="6">
                  <c:v>89.9</c:v>
                </c:pt>
                <c:pt idx="7">
                  <c:v>101.5</c:v>
                </c:pt>
                <c:pt idx="8">
                  <c:v>124.1</c:v>
                </c:pt>
                <c:pt idx="9">
                  <c:v>151.19999999999999</c:v>
                </c:pt>
                <c:pt idx="10">
                  <c:v>155</c:v>
                </c:pt>
                <c:pt idx="11">
                  <c:v>158.30000000000001</c:v>
                </c:pt>
              </c:numCache>
            </c:numRef>
          </c:val>
        </c:ser>
        <c:ser>
          <c:idx val="3"/>
          <c:order val="3"/>
          <c:tx>
            <c:v>Orocó</c:v>
          </c:tx>
          <c:spPr>
            <a:ln w="3175">
              <a:solidFill>
                <a:sysClr val="windowText" lastClr="000000"/>
              </a:solidFill>
            </a:ln>
          </c:spPr>
          <c:marker>
            <c:spPr>
              <a:noFill/>
              <a:ln w="6350"/>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francisco'!$B$5:$M$5</c:f>
              <c:numCache>
                <c:formatCode>General</c:formatCode>
                <c:ptCount val="12"/>
                <c:pt idx="0">
                  <c:v>151.30000000000001</c:v>
                </c:pt>
                <c:pt idx="1">
                  <c:v>131.6</c:v>
                </c:pt>
                <c:pt idx="2">
                  <c:v>140</c:v>
                </c:pt>
                <c:pt idx="3">
                  <c:v>121.1</c:v>
                </c:pt>
                <c:pt idx="4">
                  <c:v>108.7</c:v>
                </c:pt>
                <c:pt idx="5">
                  <c:v>91.6</c:v>
                </c:pt>
                <c:pt idx="6">
                  <c:v>86.6</c:v>
                </c:pt>
                <c:pt idx="7">
                  <c:v>97.8</c:v>
                </c:pt>
                <c:pt idx="8">
                  <c:v>122.8</c:v>
                </c:pt>
                <c:pt idx="9">
                  <c:v>151.19999999999999</c:v>
                </c:pt>
                <c:pt idx="10">
                  <c:v>151.9</c:v>
                </c:pt>
                <c:pt idx="11">
                  <c:v>155</c:v>
                </c:pt>
              </c:numCache>
            </c:numRef>
          </c:val>
        </c:ser>
        <c:ser>
          <c:idx val="4"/>
          <c:order val="4"/>
          <c:tx>
            <c:v>Petrolândia</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francisco'!$B$6:$M$6</c:f>
              <c:numCache>
                <c:formatCode>General</c:formatCode>
                <c:ptCount val="12"/>
                <c:pt idx="0">
                  <c:v>154.6</c:v>
                </c:pt>
                <c:pt idx="1">
                  <c:v>134.4</c:v>
                </c:pt>
                <c:pt idx="2">
                  <c:v>143.1</c:v>
                </c:pt>
                <c:pt idx="3">
                  <c:v>129.30000000000001</c:v>
                </c:pt>
                <c:pt idx="4">
                  <c:v>112.8</c:v>
                </c:pt>
                <c:pt idx="5">
                  <c:v>93.3</c:v>
                </c:pt>
                <c:pt idx="6">
                  <c:v>88.6</c:v>
                </c:pt>
                <c:pt idx="7">
                  <c:v>98.6</c:v>
                </c:pt>
                <c:pt idx="8">
                  <c:v>119</c:v>
                </c:pt>
                <c:pt idx="9">
                  <c:v>151.19999999999999</c:v>
                </c:pt>
                <c:pt idx="10">
                  <c:v>151.9</c:v>
                </c:pt>
                <c:pt idx="11">
                  <c:v>155</c:v>
                </c:pt>
              </c:numCache>
            </c:numRef>
          </c:val>
        </c:ser>
        <c:ser>
          <c:idx val="5"/>
          <c:order val="5"/>
          <c:tx>
            <c:v>Petrolina</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francisco'!$B$7:$M$7</c:f>
              <c:numCache>
                <c:formatCode>General</c:formatCode>
                <c:ptCount val="12"/>
                <c:pt idx="0">
                  <c:v>177.2</c:v>
                </c:pt>
                <c:pt idx="1">
                  <c:v>151.69999999999999</c:v>
                </c:pt>
                <c:pt idx="2">
                  <c:v>149.5</c:v>
                </c:pt>
                <c:pt idx="3">
                  <c:v>115.3</c:v>
                </c:pt>
                <c:pt idx="4">
                  <c:v>94</c:v>
                </c:pt>
                <c:pt idx="5">
                  <c:v>75.900000000000006</c:v>
                </c:pt>
                <c:pt idx="6">
                  <c:v>68.400000000000006</c:v>
                </c:pt>
                <c:pt idx="7">
                  <c:v>84.1</c:v>
                </c:pt>
                <c:pt idx="8">
                  <c:v>114.4</c:v>
                </c:pt>
                <c:pt idx="9">
                  <c:v>162.69999999999999</c:v>
                </c:pt>
                <c:pt idx="10">
                  <c:v>171.4</c:v>
                </c:pt>
                <c:pt idx="11">
                  <c:v>166.6</c:v>
                </c:pt>
              </c:numCache>
            </c:numRef>
          </c:val>
        </c:ser>
        <c:ser>
          <c:idx val="6"/>
          <c:order val="6"/>
          <c:tx>
            <c:v>Lagoa Grande</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francisco'!$B$8:$M$8</c:f>
              <c:numCache>
                <c:formatCode>General</c:formatCode>
                <c:ptCount val="12"/>
                <c:pt idx="0">
                  <c:v>176.7</c:v>
                </c:pt>
                <c:pt idx="1">
                  <c:v>148.5</c:v>
                </c:pt>
                <c:pt idx="2">
                  <c:v>146.30000000000001</c:v>
                </c:pt>
                <c:pt idx="3">
                  <c:v>113.7</c:v>
                </c:pt>
                <c:pt idx="4">
                  <c:v>90.1</c:v>
                </c:pt>
                <c:pt idx="5">
                  <c:v>71.900000000000006</c:v>
                </c:pt>
                <c:pt idx="6">
                  <c:v>67.7</c:v>
                </c:pt>
                <c:pt idx="7">
                  <c:v>83.2</c:v>
                </c:pt>
                <c:pt idx="8">
                  <c:v>117.6</c:v>
                </c:pt>
                <c:pt idx="9">
                  <c:v>165.6</c:v>
                </c:pt>
                <c:pt idx="10">
                  <c:v>174.9</c:v>
                </c:pt>
                <c:pt idx="11">
                  <c:v>176.6</c:v>
                </c:pt>
              </c:numCache>
            </c:numRef>
          </c:val>
        </c:ser>
        <c:ser>
          <c:idx val="7"/>
          <c:order val="7"/>
          <c:tx>
            <c:v>Jutaí</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francisco'!$B$9:$M$9</c:f>
              <c:numCache>
                <c:formatCode>General</c:formatCode>
                <c:ptCount val="12"/>
                <c:pt idx="0">
                  <c:v>176.7</c:v>
                </c:pt>
                <c:pt idx="1">
                  <c:v>145.4</c:v>
                </c:pt>
                <c:pt idx="2">
                  <c:v>146.30000000000001</c:v>
                </c:pt>
                <c:pt idx="3">
                  <c:v>111.8</c:v>
                </c:pt>
                <c:pt idx="4">
                  <c:v>90.9</c:v>
                </c:pt>
                <c:pt idx="5">
                  <c:v>73.5</c:v>
                </c:pt>
                <c:pt idx="6">
                  <c:v>71.3</c:v>
                </c:pt>
                <c:pt idx="7">
                  <c:v>88.9</c:v>
                </c:pt>
                <c:pt idx="8">
                  <c:v>123.8</c:v>
                </c:pt>
                <c:pt idx="9">
                  <c:v>165.6</c:v>
                </c:pt>
                <c:pt idx="10">
                  <c:v>178.5</c:v>
                </c:pt>
                <c:pt idx="11">
                  <c:v>184.3</c:v>
                </c:pt>
              </c:numCache>
            </c:numRef>
          </c:val>
        </c:ser>
        <c:ser>
          <c:idx val="8"/>
          <c:order val="8"/>
          <c:tx>
            <c:v>Pau Ferro</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francisco'!$B$10:$M$10</c:f>
              <c:numCache>
                <c:formatCode>General</c:formatCode>
                <c:ptCount val="12"/>
                <c:pt idx="0">
                  <c:v>173.4</c:v>
                </c:pt>
                <c:pt idx="1">
                  <c:v>145.4</c:v>
                </c:pt>
                <c:pt idx="2">
                  <c:v>146.30000000000001</c:v>
                </c:pt>
                <c:pt idx="3">
                  <c:v>110.6</c:v>
                </c:pt>
                <c:pt idx="4">
                  <c:v>87.7</c:v>
                </c:pt>
                <c:pt idx="5">
                  <c:v>69.7</c:v>
                </c:pt>
                <c:pt idx="6">
                  <c:v>65.900000000000006</c:v>
                </c:pt>
                <c:pt idx="7">
                  <c:v>81.099999999999994</c:v>
                </c:pt>
                <c:pt idx="8">
                  <c:v>116.3</c:v>
                </c:pt>
                <c:pt idx="9">
                  <c:v>166.1</c:v>
                </c:pt>
                <c:pt idx="10">
                  <c:v>175.4</c:v>
                </c:pt>
                <c:pt idx="11">
                  <c:v>177.1</c:v>
                </c:pt>
              </c:numCache>
            </c:numRef>
          </c:val>
        </c:ser>
        <c:marker val="1"/>
        <c:axId val="137513216"/>
        <c:axId val="137564928"/>
      </c:lineChart>
      <c:catAx>
        <c:axId val="137513216"/>
        <c:scaling>
          <c:orientation val="minMax"/>
        </c:scaling>
        <c:axPos val="b"/>
        <c:title>
          <c:tx>
            <c:rich>
              <a:bodyPr/>
              <a:lstStyle/>
              <a:p>
                <a:pPr>
                  <a:defRPr sz="800">
                    <a:latin typeface="Times New Roman" pitchFamily="18" charset="0"/>
                    <a:cs typeface="Times New Roman" pitchFamily="18" charset="0"/>
                  </a:defRPr>
                </a:pPr>
                <a:r>
                  <a:rPr lang="pt-BR" sz="800" b="1">
                    <a:latin typeface="Times New Roman" pitchFamily="18" charset="0"/>
                    <a:cs typeface="Times New Roman" pitchFamily="18" charset="0"/>
                  </a:rPr>
                  <a:t>Months</a:t>
                </a:r>
              </a:p>
            </c:rich>
          </c:tx>
          <c:layout>
            <c:manualLayout>
              <c:xMode val="edge"/>
              <c:yMode val="edge"/>
              <c:x val="0.48118467291827238"/>
              <c:y val="0.75624595959595964"/>
            </c:manualLayout>
          </c:layout>
        </c:title>
        <c:numFmt formatCode="General" sourceLinked="1"/>
        <c:majorTickMark val="none"/>
        <c:minorTickMark val="out"/>
        <c:tickLblPos val="nextTo"/>
        <c:spPr>
          <a:ln>
            <a:solidFill>
              <a:schemeClr val="tx1"/>
            </a:solidFill>
          </a:ln>
        </c:spPr>
        <c:txPr>
          <a:bodyPr rot="-5400000" vert="horz"/>
          <a:lstStyle/>
          <a:p>
            <a:pPr>
              <a:defRPr sz="800" b="0" i="0" u="none" strike="noStrike" baseline="0">
                <a:solidFill>
                  <a:srgbClr val="000000"/>
                </a:solidFill>
                <a:latin typeface="Times New Roman"/>
                <a:ea typeface="Times New Roman"/>
                <a:cs typeface="Times New Roman"/>
              </a:defRPr>
            </a:pPr>
            <a:endParaRPr lang="pt-BR"/>
          </a:p>
        </c:txPr>
        <c:crossAx val="137564928"/>
        <c:crosses val="autoZero"/>
        <c:auto val="1"/>
        <c:lblAlgn val="ctr"/>
        <c:lblOffset val="100"/>
      </c:catAx>
      <c:valAx>
        <c:axId val="137564928"/>
        <c:scaling>
          <c:orientation val="minMax"/>
          <c:max val="220"/>
          <c:min val="40"/>
        </c:scaling>
        <c:axPos val="l"/>
        <c:title>
          <c:tx>
            <c:rich>
              <a:bodyPr/>
              <a:lstStyle/>
              <a:p>
                <a:pPr>
                  <a:defRPr sz="800" b="1" i="0" u="none" strike="noStrike" baseline="0">
                    <a:solidFill>
                      <a:srgbClr val="000000"/>
                    </a:solidFill>
                    <a:latin typeface="Times New Roman"/>
                    <a:ea typeface="Times New Roman"/>
                    <a:cs typeface="Times New Roman"/>
                  </a:defRPr>
                </a:pPr>
                <a:r>
                  <a:rPr lang="pt-BR" sz="800" b="1" i="0" u="none" strike="noStrike" baseline="0"/>
                  <a:t>PET (mm month</a:t>
                </a:r>
                <a:r>
                  <a:rPr lang="pt-BR" sz="800" b="1" i="0" u="none" strike="noStrike" baseline="30000"/>
                  <a:t>-1</a:t>
                </a:r>
                <a:r>
                  <a:rPr lang="pt-BR" sz="800" b="1" i="0" u="none" strike="noStrike" baseline="0"/>
                  <a:t>)</a:t>
                </a:r>
                <a:r>
                  <a:rPr lang="pt-BR" sz="800"/>
                  <a:t>                   </a:t>
                </a:r>
              </a:p>
            </c:rich>
          </c:tx>
          <c:spPr>
            <a:noFill/>
            <a:ln w="25400">
              <a:noFill/>
            </a:ln>
          </c:spPr>
        </c:title>
        <c:numFmt formatCode="General" sourceLinked="1"/>
        <c:tickLblPos val="nextTo"/>
        <c:spPr>
          <a:ln>
            <a:solidFill>
              <a:schemeClr val="tx1"/>
            </a:solidFill>
          </a:ln>
        </c:spPr>
        <c:txPr>
          <a:bodyPr rot="0" vert="horz"/>
          <a:lstStyle/>
          <a:p>
            <a:pPr>
              <a:defRPr sz="800" b="0" i="0" u="none" strike="noStrike" baseline="0">
                <a:solidFill>
                  <a:srgbClr val="000000"/>
                </a:solidFill>
                <a:latin typeface="Times New Roman"/>
                <a:ea typeface="Times New Roman"/>
                <a:cs typeface="Times New Roman"/>
              </a:defRPr>
            </a:pPr>
            <a:endParaRPr lang="pt-BR"/>
          </a:p>
        </c:txPr>
        <c:crossAx val="137513216"/>
        <c:crosses val="autoZero"/>
        <c:crossBetween val="between"/>
      </c:valAx>
      <c:spPr>
        <a:ln>
          <a:noFill/>
        </a:ln>
      </c:spPr>
    </c:plotArea>
    <c:legend>
      <c:legendPos val="r"/>
      <c:layout>
        <c:manualLayout>
          <c:xMode val="edge"/>
          <c:yMode val="edge"/>
          <c:x val="0"/>
          <c:y val="0.83579451566952256"/>
          <c:w val="0.99450104463335587"/>
          <c:h val="0.1623689458689459"/>
        </c:manualLayout>
      </c:layout>
      <c:txPr>
        <a:bodyPr/>
        <a:lstStyle/>
        <a:p>
          <a:pPr>
            <a:defRPr sz="600" b="0" i="0" u="none" strike="noStrike" baseline="0">
              <a:solidFill>
                <a:srgbClr val="000000"/>
              </a:solidFill>
              <a:latin typeface="Times New Roman"/>
              <a:ea typeface="Times New Roman"/>
              <a:cs typeface="Times New Roman"/>
            </a:defRPr>
          </a:pPr>
          <a:endParaRPr lang="pt-BR"/>
        </a:p>
      </c:txPr>
    </c:legend>
    <c:plotVisOnly val="1"/>
    <c:dispBlanksAs val="gap"/>
  </c:chart>
  <c:spPr>
    <a:solidFill>
      <a:schemeClr val="bg1"/>
    </a:solidFill>
    <a:ln w="3175">
      <a:noFill/>
      <a:prstDash val="solid"/>
    </a:ln>
  </c:spPr>
  <c:txPr>
    <a:bodyPr/>
    <a:lstStyle/>
    <a:p>
      <a:pPr>
        <a:defRPr sz="1000" b="0" i="0" u="none" strike="noStrike" baseline="0">
          <a:solidFill>
            <a:srgbClr val="000000"/>
          </a:solidFill>
          <a:latin typeface="Calibri"/>
          <a:ea typeface="Calibri"/>
          <a:cs typeface="Calibri"/>
        </a:defRPr>
      </a:pPr>
      <a:endParaRPr lang="pt-BR"/>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pt-BR"/>
  <c:chart>
    <c:plotArea>
      <c:layout>
        <c:manualLayout>
          <c:layoutTarget val="inner"/>
          <c:xMode val="edge"/>
          <c:yMode val="edge"/>
          <c:x val="0.13858645367170841"/>
          <c:y val="2.7462686567164211E-2"/>
          <c:w val="0.83647123246284982"/>
          <c:h val="0.61090891996709362"/>
        </c:manualLayout>
      </c:layout>
      <c:lineChart>
        <c:grouping val="standard"/>
        <c:ser>
          <c:idx val="0"/>
          <c:order val="0"/>
          <c:tx>
            <c:v>Araripina</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sertao!$B$2:$M$2</c:f>
              <c:numCache>
                <c:formatCode>General</c:formatCode>
                <c:ptCount val="12"/>
                <c:pt idx="0">
                  <c:v>142.5</c:v>
                </c:pt>
                <c:pt idx="1">
                  <c:v>109.7</c:v>
                </c:pt>
                <c:pt idx="2">
                  <c:v>102.4</c:v>
                </c:pt>
                <c:pt idx="3">
                  <c:v>85.7</c:v>
                </c:pt>
                <c:pt idx="4">
                  <c:v>74.099999999999994</c:v>
                </c:pt>
                <c:pt idx="5">
                  <c:v>61.9</c:v>
                </c:pt>
                <c:pt idx="6">
                  <c:v>64</c:v>
                </c:pt>
                <c:pt idx="7">
                  <c:v>78.8</c:v>
                </c:pt>
                <c:pt idx="8">
                  <c:v>109.8</c:v>
                </c:pt>
                <c:pt idx="9">
                  <c:v>147.6</c:v>
                </c:pt>
                <c:pt idx="10">
                  <c:v>150.5</c:v>
                </c:pt>
                <c:pt idx="11">
                  <c:v>154.5</c:v>
                </c:pt>
              </c:numCache>
            </c:numRef>
          </c:val>
        </c:ser>
        <c:ser>
          <c:idx val="1"/>
          <c:order val="1"/>
          <c:tx>
            <c:v>S. J. do Egito</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sertao!$B$3:$M$3</c:f>
              <c:numCache>
                <c:formatCode>General</c:formatCode>
                <c:ptCount val="12"/>
                <c:pt idx="0">
                  <c:v>139.19999999999999</c:v>
                </c:pt>
                <c:pt idx="1">
                  <c:v>111</c:v>
                </c:pt>
                <c:pt idx="2">
                  <c:v>107.6</c:v>
                </c:pt>
                <c:pt idx="3">
                  <c:v>90.4</c:v>
                </c:pt>
                <c:pt idx="4">
                  <c:v>77.5</c:v>
                </c:pt>
                <c:pt idx="5">
                  <c:v>62.4</c:v>
                </c:pt>
                <c:pt idx="6">
                  <c:v>62.8</c:v>
                </c:pt>
                <c:pt idx="7">
                  <c:v>72.2</c:v>
                </c:pt>
                <c:pt idx="8">
                  <c:v>90.6</c:v>
                </c:pt>
                <c:pt idx="9">
                  <c:v>117.8</c:v>
                </c:pt>
                <c:pt idx="10">
                  <c:v>130.9</c:v>
                </c:pt>
                <c:pt idx="11">
                  <c:v>145.1</c:v>
                </c:pt>
              </c:numCache>
            </c:numRef>
          </c:val>
        </c:ser>
        <c:ser>
          <c:idx val="2"/>
          <c:order val="2"/>
          <c:tx>
            <c:v>Exú</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sertao!$B$4:$M$4</c:f>
              <c:numCache>
                <c:formatCode>General</c:formatCode>
                <c:ptCount val="12"/>
                <c:pt idx="0">
                  <c:v>160.19999999999999</c:v>
                </c:pt>
                <c:pt idx="1">
                  <c:v>121.6</c:v>
                </c:pt>
                <c:pt idx="2">
                  <c:v>113.5</c:v>
                </c:pt>
                <c:pt idx="3">
                  <c:v>94.9</c:v>
                </c:pt>
                <c:pt idx="4">
                  <c:v>82.2</c:v>
                </c:pt>
                <c:pt idx="5">
                  <c:v>67.900000000000006</c:v>
                </c:pt>
                <c:pt idx="6">
                  <c:v>71</c:v>
                </c:pt>
                <c:pt idx="7">
                  <c:v>87.8</c:v>
                </c:pt>
                <c:pt idx="8">
                  <c:v>117.9</c:v>
                </c:pt>
                <c:pt idx="9">
                  <c:v>155.5</c:v>
                </c:pt>
                <c:pt idx="10">
                  <c:v>163.80000000000001</c:v>
                </c:pt>
                <c:pt idx="11">
                  <c:v>171.9</c:v>
                </c:pt>
              </c:numCache>
            </c:numRef>
          </c:val>
        </c:ser>
        <c:ser>
          <c:idx val="3"/>
          <c:order val="3"/>
          <c:tx>
            <c:v>S. J. Belmonte</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sertao!$B$5:$M$5</c:f>
              <c:numCache>
                <c:formatCode>General</c:formatCode>
                <c:ptCount val="12"/>
                <c:pt idx="0">
                  <c:v>165.2</c:v>
                </c:pt>
                <c:pt idx="1">
                  <c:v>128.9</c:v>
                </c:pt>
                <c:pt idx="2">
                  <c:v>122.4</c:v>
                </c:pt>
                <c:pt idx="3">
                  <c:v>101.4</c:v>
                </c:pt>
                <c:pt idx="4">
                  <c:v>85.9</c:v>
                </c:pt>
                <c:pt idx="5">
                  <c:v>70.3</c:v>
                </c:pt>
                <c:pt idx="6">
                  <c:v>71.099999999999994</c:v>
                </c:pt>
                <c:pt idx="7">
                  <c:v>86.4</c:v>
                </c:pt>
                <c:pt idx="8">
                  <c:v>113.1</c:v>
                </c:pt>
                <c:pt idx="9">
                  <c:v>151.69999999999999</c:v>
                </c:pt>
                <c:pt idx="10">
                  <c:v>162.80000000000001</c:v>
                </c:pt>
                <c:pt idx="11">
                  <c:v>174.8</c:v>
                </c:pt>
              </c:numCache>
            </c:numRef>
          </c:val>
        </c:ser>
        <c:ser>
          <c:idx val="4"/>
          <c:order val="4"/>
          <c:tx>
            <c:v>Verdejante</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sertao!$B$6:$M$6</c:f>
              <c:numCache>
                <c:formatCode>General</c:formatCode>
                <c:ptCount val="12"/>
                <c:pt idx="0">
                  <c:v>167.9</c:v>
                </c:pt>
                <c:pt idx="1">
                  <c:v>128.69999999999999</c:v>
                </c:pt>
                <c:pt idx="2">
                  <c:v>123.7</c:v>
                </c:pt>
                <c:pt idx="3">
                  <c:v>102.5</c:v>
                </c:pt>
                <c:pt idx="4">
                  <c:v>85.6</c:v>
                </c:pt>
                <c:pt idx="5">
                  <c:v>69.599999999999994</c:v>
                </c:pt>
                <c:pt idx="6">
                  <c:v>71.8</c:v>
                </c:pt>
                <c:pt idx="7">
                  <c:v>87.3</c:v>
                </c:pt>
                <c:pt idx="8">
                  <c:v>115.9</c:v>
                </c:pt>
                <c:pt idx="9">
                  <c:v>155</c:v>
                </c:pt>
                <c:pt idx="10">
                  <c:v>162.80000000000001</c:v>
                </c:pt>
                <c:pt idx="11">
                  <c:v>174.8</c:v>
                </c:pt>
              </c:numCache>
            </c:numRef>
          </c:val>
        </c:ser>
        <c:ser>
          <c:idx val="5"/>
          <c:order val="5"/>
          <c:tx>
            <c:v>Parnamirim</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sertao!$B$7:$M$7</c:f>
              <c:numCache>
                <c:formatCode>General</c:formatCode>
                <c:ptCount val="12"/>
                <c:pt idx="0">
                  <c:v>175.8</c:v>
                </c:pt>
                <c:pt idx="1">
                  <c:v>144.9</c:v>
                </c:pt>
                <c:pt idx="2">
                  <c:v>134.1</c:v>
                </c:pt>
                <c:pt idx="3">
                  <c:v>109.3</c:v>
                </c:pt>
                <c:pt idx="4">
                  <c:v>90.6</c:v>
                </c:pt>
                <c:pt idx="5">
                  <c:v>74.099999999999994</c:v>
                </c:pt>
                <c:pt idx="6">
                  <c:v>75.5</c:v>
                </c:pt>
                <c:pt idx="7">
                  <c:v>93.5</c:v>
                </c:pt>
                <c:pt idx="8">
                  <c:v>127.4</c:v>
                </c:pt>
                <c:pt idx="9">
                  <c:v>162.19999999999999</c:v>
                </c:pt>
                <c:pt idx="10">
                  <c:v>174.4</c:v>
                </c:pt>
                <c:pt idx="11">
                  <c:v>183.4</c:v>
                </c:pt>
              </c:numCache>
            </c:numRef>
          </c:val>
        </c:ser>
        <c:ser>
          <c:idx val="6"/>
          <c:order val="6"/>
          <c:tx>
            <c:v>Salgueiro</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sertao!$B$8:$M$8</c:f>
              <c:numCache>
                <c:formatCode>General</c:formatCode>
                <c:ptCount val="12"/>
                <c:pt idx="0">
                  <c:v>171.6</c:v>
                </c:pt>
                <c:pt idx="1">
                  <c:v>135</c:v>
                </c:pt>
                <c:pt idx="2">
                  <c:v>129.69999999999999</c:v>
                </c:pt>
                <c:pt idx="3">
                  <c:v>105.9</c:v>
                </c:pt>
                <c:pt idx="4">
                  <c:v>88.3</c:v>
                </c:pt>
                <c:pt idx="5">
                  <c:v>71.7</c:v>
                </c:pt>
                <c:pt idx="6">
                  <c:v>72.8</c:v>
                </c:pt>
                <c:pt idx="7">
                  <c:v>88.4</c:v>
                </c:pt>
                <c:pt idx="8">
                  <c:v>119.9</c:v>
                </c:pt>
                <c:pt idx="9">
                  <c:v>158.4</c:v>
                </c:pt>
                <c:pt idx="10">
                  <c:v>170.4</c:v>
                </c:pt>
                <c:pt idx="11">
                  <c:v>179.1</c:v>
                </c:pt>
              </c:numCache>
            </c:numRef>
          </c:val>
        </c:ser>
        <c:ser>
          <c:idx val="7"/>
          <c:order val="7"/>
          <c:tx>
            <c:v>Ibimirim</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sertao!$B$9:$M$9</c:f>
              <c:numCache>
                <c:formatCode>General</c:formatCode>
                <c:ptCount val="12"/>
                <c:pt idx="0">
                  <c:v>136</c:v>
                </c:pt>
                <c:pt idx="1">
                  <c:v>115.4</c:v>
                </c:pt>
                <c:pt idx="2">
                  <c:v>120.9</c:v>
                </c:pt>
                <c:pt idx="3">
                  <c:v>110.5</c:v>
                </c:pt>
                <c:pt idx="4">
                  <c:v>98.8</c:v>
                </c:pt>
                <c:pt idx="5">
                  <c:v>83</c:v>
                </c:pt>
                <c:pt idx="6">
                  <c:v>79.3</c:v>
                </c:pt>
                <c:pt idx="7">
                  <c:v>86.1</c:v>
                </c:pt>
                <c:pt idx="8">
                  <c:v>101.1</c:v>
                </c:pt>
                <c:pt idx="9">
                  <c:v>125.6</c:v>
                </c:pt>
                <c:pt idx="10">
                  <c:v>131.30000000000001</c:v>
                </c:pt>
                <c:pt idx="11">
                  <c:v>138.5</c:v>
                </c:pt>
              </c:numCache>
            </c:numRef>
          </c:val>
        </c:ser>
        <c:ser>
          <c:idx val="8"/>
          <c:order val="8"/>
          <c:tx>
            <c:v>Arcoverde</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sertao!$B$10:$M$10</c:f>
              <c:numCache>
                <c:formatCode>General</c:formatCode>
                <c:ptCount val="12"/>
                <c:pt idx="0">
                  <c:v>111.4</c:v>
                </c:pt>
                <c:pt idx="1">
                  <c:v>97.1</c:v>
                </c:pt>
                <c:pt idx="2">
                  <c:v>102.1</c:v>
                </c:pt>
                <c:pt idx="3">
                  <c:v>92.6</c:v>
                </c:pt>
                <c:pt idx="4">
                  <c:v>82.9</c:v>
                </c:pt>
                <c:pt idx="5">
                  <c:v>69.5</c:v>
                </c:pt>
                <c:pt idx="6">
                  <c:v>65.8</c:v>
                </c:pt>
                <c:pt idx="7">
                  <c:v>69.5</c:v>
                </c:pt>
                <c:pt idx="8">
                  <c:v>79.7</c:v>
                </c:pt>
                <c:pt idx="9">
                  <c:v>100</c:v>
                </c:pt>
                <c:pt idx="10">
                  <c:v>106.4</c:v>
                </c:pt>
                <c:pt idx="11">
                  <c:v>113.3</c:v>
                </c:pt>
              </c:numCache>
            </c:numRef>
          </c:val>
        </c:ser>
        <c:ser>
          <c:idx val="9"/>
          <c:order val="9"/>
          <c:tx>
            <c:v>Serra Talhada</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sertao!$B$11:$M$11</c:f>
              <c:numCache>
                <c:formatCode>General</c:formatCode>
                <c:ptCount val="12"/>
                <c:pt idx="0">
                  <c:v>167</c:v>
                </c:pt>
                <c:pt idx="1">
                  <c:v>130.19999999999999</c:v>
                </c:pt>
                <c:pt idx="2">
                  <c:v>123.7</c:v>
                </c:pt>
                <c:pt idx="3">
                  <c:v>103.2</c:v>
                </c:pt>
                <c:pt idx="4">
                  <c:v>86.3</c:v>
                </c:pt>
                <c:pt idx="5">
                  <c:v>70.7</c:v>
                </c:pt>
                <c:pt idx="6">
                  <c:v>70.8</c:v>
                </c:pt>
                <c:pt idx="7">
                  <c:v>84.5</c:v>
                </c:pt>
                <c:pt idx="8">
                  <c:v>110.3</c:v>
                </c:pt>
                <c:pt idx="9">
                  <c:v>147</c:v>
                </c:pt>
                <c:pt idx="10">
                  <c:v>162.4</c:v>
                </c:pt>
                <c:pt idx="11">
                  <c:v>174.3</c:v>
                </c:pt>
              </c:numCache>
            </c:numRef>
          </c:val>
        </c:ser>
        <c:marker val="1"/>
        <c:axId val="137600000"/>
        <c:axId val="137623040"/>
      </c:lineChart>
      <c:catAx>
        <c:axId val="137600000"/>
        <c:scaling>
          <c:orientation val="minMax"/>
        </c:scaling>
        <c:axPos val="b"/>
        <c:title>
          <c:tx>
            <c:rich>
              <a:bodyPr/>
              <a:lstStyle/>
              <a:p>
                <a:pPr>
                  <a:defRPr sz="800" b="1">
                    <a:latin typeface="Times New Roman" pitchFamily="18" charset="0"/>
                    <a:cs typeface="Times New Roman" pitchFamily="18" charset="0"/>
                  </a:defRPr>
                </a:pPr>
                <a:r>
                  <a:rPr lang="pt-BR" sz="800" b="1">
                    <a:latin typeface="Times New Roman" pitchFamily="18" charset="0"/>
                    <a:cs typeface="Times New Roman" pitchFamily="18" charset="0"/>
                  </a:rPr>
                  <a:t>Months</a:t>
                </a:r>
              </a:p>
            </c:rich>
          </c:tx>
          <c:layout>
            <c:manualLayout>
              <c:xMode val="edge"/>
              <c:yMode val="edge"/>
              <c:x val="0.49469438622330481"/>
              <c:y val="0.74812373737373805"/>
            </c:manualLayout>
          </c:layout>
          <c:spPr>
            <a:ln w="3175"/>
          </c:spPr>
        </c:title>
        <c:numFmt formatCode="General" sourceLinked="1"/>
        <c:majorTickMark val="none"/>
        <c:minorTickMark val="out"/>
        <c:tickLblPos val="nextTo"/>
        <c:spPr>
          <a:ln>
            <a:solidFill>
              <a:sysClr val="windowText" lastClr="000000"/>
            </a:solidFill>
          </a:ln>
        </c:spPr>
        <c:txPr>
          <a:bodyPr rot="-5400000" vert="horz"/>
          <a:lstStyle/>
          <a:p>
            <a:pPr>
              <a:defRPr sz="800" b="0" i="0" u="none" strike="noStrike" baseline="0">
                <a:solidFill>
                  <a:srgbClr val="000000"/>
                </a:solidFill>
                <a:latin typeface="Times New Roman"/>
                <a:ea typeface="Times New Roman"/>
                <a:cs typeface="Times New Roman"/>
              </a:defRPr>
            </a:pPr>
            <a:endParaRPr lang="pt-BR"/>
          </a:p>
        </c:txPr>
        <c:crossAx val="137623040"/>
        <c:crosses val="autoZero"/>
        <c:auto val="1"/>
        <c:lblAlgn val="ctr"/>
        <c:lblOffset val="100"/>
      </c:catAx>
      <c:valAx>
        <c:axId val="137623040"/>
        <c:scaling>
          <c:orientation val="minMax"/>
          <c:max val="220"/>
          <c:min val="40"/>
        </c:scaling>
        <c:axPos val="l"/>
        <c:numFmt formatCode="General" sourceLinked="1"/>
        <c:tickLblPos val="nextTo"/>
        <c:spPr>
          <a:ln>
            <a:solidFill>
              <a:sysClr val="windowText" lastClr="000000"/>
            </a:solidFill>
          </a:ln>
        </c:spPr>
        <c:txPr>
          <a:bodyPr rot="0" vert="horz"/>
          <a:lstStyle/>
          <a:p>
            <a:pPr>
              <a:defRPr sz="800" b="0" i="0" u="none" strike="noStrike" baseline="0">
                <a:solidFill>
                  <a:srgbClr val="000000"/>
                </a:solidFill>
                <a:latin typeface="Times New Roman"/>
                <a:ea typeface="Times New Roman"/>
                <a:cs typeface="Times New Roman"/>
              </a:defRPr>
            </a:pPr>
            <a:endParaRPr lang="pt-BR"/>
          </a:p>
        </c:txPr>
        <c:crossAx val="137600000"/>
        <c:crosses val="autoZero"/>
        <c:crossBetween val="between"/>
      </c:valAx>
      <c:spPr>
        <a:noFill/>
        <a:ln w="25400">
          <a:noFill/>
        </a:ln>
      </c:spPr>
    </c:plotArea>
    <c:legend>
      <c:legendPos val="r"/>
      <c:layout>
        <c:manualLayout>
          <c:xMode val="edge"/>
          <c:yMode val="edge"/>
          <c:x val="0"/>
          <c:y val="0.84687828083989902"/>
          <c:w val="1"/>
          <c:h val="0.15312171916010497"/>
        </c:manualLayout>
      </c:layout>
      <c:txPr>
        <a:bodyPr/>
        <a:lstStyle/>
        <a:p>
          <a:pPr>
            <a:defRPr sz="600" b="0" i="0" u="none" strike="noStrike" baseline="0">
              <a:solidFill>
                <a:srgbClr val="000000"/>
              </a:solidFill>
              <a:latin typeface="Times New Roman"/>
              <a:ea typeface="Times New Roman"/>
              <a:cs typeface="Times New Roman"/>
            </a:defRPr>
          </a:pPr>
          <a:endParaRPr lang="pt-BR"/>
        </a:p>
      </c:txPr>
    </c:legend>
    <c:plotVisOnly val="1"/>
    <c:dispBlanksAs val="gap"/>
  </c:chart>
  <c:spPr>
    <a:solidFill>
      <a:srgbClr val="FFFFFF"/>
    </a:solidFill>
    <a:ln w="3175">
      <a:noFill/>
      <a:prstDash val="solid"/>
    </a:ln>
  </c:spPr>
  <c:txPr>
    <a:bodyPr/>
    <a:lstStyle/>
    <a:p>
      <a:pPr>
        <a:defRPr sz="1000" b="0" i="0" u="none" strike="noStrike" baseline="0">
          <a:solidFill>
            <a:srgbClr val="000000"/>
          </a:solidFill>
          <a:latin typeface="Calibri"/>
          <a:ea typeface="Calibri"/>
          <a:cs typeface="Calibri"/>
        </a:defRPr>
      </a:pPr>
      <a:endParaRPr lang="pt-BR"/>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pt-BR"/>
  <c:chart>
    <c:autoTitleDeleted val="1"/>
    <c:plotArea>
      <c:layout>
        <c:manualLayout>
          <c:layoutTarget val="inner"/>
          <c:xMode val="edge"/>
          <c:yMode val="edge"/>
          <c:x val="0.16448989659425109"/>
          <c:y val="5.5354040404040412E-2"/>
          <c:w val="0.81753761502703726"/>
          <c:h val="0.53983030303030299"/>
        </c:manualLayout>
      </c:layout>
      <c:barChart>
        <c:barDir val="col"/>
        <c:grouping val="clustered"/>
        <c:ser>
          <c:idx val="0"/>
          <c:order val="0"/>
          <c:tx>
            <c:v>Barreiros</c:v>
          </c:tx>
          <c:spPr>
            <a:ln>
              <a:solidFill>
                <a:schemeClr val="tx1"/>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mata'!$B$2:$M$2</c:f>
              <c:numCache>
                <c:formatCode>General</c:formatCode>
                <c:ptCount val="12"/>
                <c:pt idx="0">
                  <c:v>83</c:v>
                </c:pt>
                <c:pt idx="1">
                  <c:v>126</c:v>
                </c:pt>
                <c:pt idx="2">
                  <c:v>224</c:v>
                </c:pt>
                <c:pt idx="3">
                  <c:v>295</c:v>
                </c:pt>
                <c:pt idx="4">
                  <c:v>298</c:v>
                </c:pt>
                <c:pt idx="5">
                  <c:v>308</c:v>
                </c:pt>
                <c:pt idx="6">
                  <c:v>360</c:v>
                </c:pt>
                <c:pt idx="7">
                  <c:v>187</c:v>
                </c:pt>
                <c:pt idx="8">
                  <c:v>122</c:v>
                </c:pt>
                <c:pt idx="9">
                  <c:v>65</c:v>
                </c:pt>
                <c:pt idx="10">
                  <c:v>57</c:v>
                </c:pt>
                <c:pt idx="11">
                  <c:v>72</c:v>
                </c:pt>
              </c:numCache>
            </c:numRef>
          </c:val>
        </c:ser>
        <c:ser>
          <c:idx val="1"/>
          <c:order val="1"/>
          <c:tx>
            <c:v>Cortês</c:v>
          </c:tx>
          <c:spPr>
            <a:ln>
              <a:solidFill>
                <a:schemeClr val="tx1"/>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mata'!$B$3:$M$3</c:f>
              <c:numCache>
                <c:formatCode>General</c:formatCode>
                <c:ptCount val="12"/>
                <c:pt idx="0">
                  <c:v>83</c:v>
                </c:pt>
                <c:pt idx="1">
                  <c:v>101</c:v>
                </c:pt>
                <c:pt idx="2">
                  <c:v>175</c:v>
                </c:pt>
                <c:pt idx="3">
                  <c:v>240</c:v>
                </c:pt>
                <c:pt idx="4">
                  <c:v>275</c:v>
                </c:pt>
                <c:pt idx="5">
                  <c:v>294</c:v>
                </c:pt>
                <c:pt idx="6">
                  <c:v>350</c:v>
                </c:pt>
                <c:pt idx="7">
                  <c:v>170</c:v>
                </c:pt>
                <c:pt idx="8">
                  <c:v>112</c:v>
                </c:pt>
                <c:pt idx="9">
                  <c:v>48</c:v>
                </c:pt>
                <c:pt idx="10">
                  <c:v>42</c:v>
                </c:pt>
                <c:pt idx="11">
                  <c:v>63</c:v>
                </c:pt>
              </c:numCache>
            </c:numRef>
          </c:val>
        </c:ser>
        <c:ser>
          <c:idx val="2"/>
          <c:order val="2"/>
          <c:tx>
            <c:v>Escada</c:v>
          </c:tx>
          <c:spPr>
            <a:ln>
              <a:solidFill>
                <a:schemeClr val="tx1"/>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mata'!$B$4:$M$4</c:f>
              <c:numCache>
                <c:formatCode>General</c:formatCode>
                <c:ptCount val="12"/>
                <c:pt idx="0">
                  <c:v>69</c:v>
                </c:pt>
                <c:pt idx="1">
                  <c:v>90</c:v>
                </c:pt>
                <c:pt idx="2">
                  <c:v>165</c:v>
                </c:pt>
                <c:pt idx="3">
                  <c:v>205</c:v>
                </c:pt>
                <c:pt idx="4">
                  <c:v>256</c:v>
                </c:pt>
                <c:pt idx="5">
                  <c:v>247</c:v>
                </c:pt>
                <c:pt idx="6">
                  <c:v>211</c:v>
                </c:pt>
                <c:pt idx="7">
                  <c:v>145</c:v>
                </c:pt>
                <c:pt idx="8">
                  <c:v>74</c:v>
                </c:pt>
                <c:pt idx="9">
                  <c:v>45</c:v>
                </c:pt>
                <c:pt idx="10">
                  <c:v>48</c:v>
                </c:pt>
                <c:pt idx="11">
                  <c:v>53</c:v>
                </c:pt>
              </c:numCache>
            </c:numRef>
          </c:val>
        </c:ser>
        <c:ser>
          <c:idx val="3"/>
          <c:order val="3"/>
          <c:tx>
            <c:v>Gameleira</c:v>
          </c:tx>
          <c:spPr>
            <a:ln>
              <a:solidFill>
                <a:schemeClr val="tx1"/>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mata'!$B$5:$M$5</c:f>
              <c:numCache>
                <c:formatCode>General</c:formatCode>
                <c:ptCount val="12"/>
                <c:pt idx="0">
                  <c:v>88</c:v>
                </c:pt>
                <c:pt idx="1">
                  <c:v>120</c:v>
                </c:pt>
                <c:pt idx="2">
                  <c:v>224</c:v>
                </c:pt>
                <c:pt idx="3">
                  <c:v>265</c:v>
                </c:pt>
                <c:pt idx="4">
                  <c:v>291</c:v>
                </c:pt>
                <c:pt idx="5">
                  <c:v>329</c:v>
                </c:pt>
                <c:pt idx="6">
                  <c:v>337</c:v>
                </c:pt>
                <c:pt idx="7">
                  <c:v>137</c:v>
                </c:pt>
                <c:pt idx="8">
                  <c:v>91</c:v>
                </c:pt>
                <c:pt idx="9">
                  <c:v>59</c:v>
                </c:pt>
                <c:pt idx="10">
                  <c:v>40</c:v>
                </c:pt>
                <c:pt idx="11">
                  <c:v>70</c:v>
                </c:pt>
              </c:numCache>
            </c:numRef>
          </c:val>
        </c:ser>
        <c:ser>
          <c:idx val="4"/>
          <c:order val="4"/>
          <c:tx>
            <c:v>Palmares</c:v>
          </c:tx>
          <c:spPr>
            <a:ln>
              <a:solidFill>
                <a:schemeClr val="tx1"/>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mata'!$B$6:$M$6</c:f>
              <c:numCache>
                <c:formatCode>General</c:formatCode>
                <c:ptCount val="12"/>
                <c:pt idx="0">
                  <c:v>52</c:v>
                </c:pt>
                <c:pt idx="1">
                  <c:v>79</c:v>
                </c:pt>
                <c:pt idx="2">
                  <c:v>136</c:v>
                </c:pt>
                <c:pt idx="3">
                  <c:v>187</c:v>
                </c:pt>
                <c:pt idx="4">
                  <c:v>231</c:v>
                </c:pt>
                <c:pt idx="5">
                  <c:v>238</c:v>
                </c:pt>
                <c:pt idx="6">
                  <c:v>219</c:v>
                </c:pt>
                <c:pt idx="7">
                  <c:v>126</c:v>
                </c:pt>
                <c:pt idx="8">
                  <c:v>74</c:v>
                </c:pt>
                <c:pt idx="9">
                  <c:v>36</c:v>
                </c:pt>
                <c:pt idx="10">
                  <c:v>32</c:v>
                </c:pt>
                <c:pt idx="11">
                  <c:v>49</c:v>
                </c:pt>
              </c:numCache>
            </c:numRef>
          </c:val>
        </c:ser>
        <c:ser>
          <c:idx val="5"/>
          <c:order val="5"/>
          <c:tx>
            <c:v>Primavera</c:v>
          </c:tx>
          <c:spPr>
            <a:ln>
              <a:solidFill>
                <a:schemeClr val="tx1"/>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mata'!$B$7:$M$7</c:f>
              <c:numCache>
                <c:formatCode>General</c:formatCode>
                <c:ptCount val="12"/>
                <c:pt idx="0">
                  <c:v>92</c:v>
                </c:pt>
                <c:pt idx="1">
                  <c:v>123</c:v>
                </c:pt>
                <c:pt idx="2">
                  <c:v>221</c:v>
                </c:pt>
                <c:pt idx="3">
                  <c:v>232</c:v>
                </c:pt>
                <c:pt idx="4">
                  <c:v>261</c:v>
                </c:pt>
                <c:pt idx="5">
                  <c:v>303</c:v>
                </c:pt>
                <c:pt idx="6">
                  <c:v>315</c:v>
                </c:pt>
                <c:pt idx="7">
                  <c:v>188</c:v>
                </c:pt>
                <c:pt idx="8">
                  <c:v>126</c:v>
                </c:pt>
                <c:pt idx="9">
                  <c:v>56</c:v>
                </c:pt>
                <c:pt idx="10">
                  <c:v>41</c:v>
                </c:pt>
                <c:pt idx="11">
                  <c:v>62</c:v>
                </c:pt>
              </c:numCache>
            </c:numRef>
          </c:val>
        </c:ser>
        <c:ser>
          <c:idx val="6"/>
          <c:order val="6"/>
          <c:tx>
            <c:v>Rio Formoso</c:v>
          </c:tx>
          <c:spPr>
            <a:ln>
              <a:solidFill>
                <a:schemeClr val="tx1"/>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mata'!$B$8:$M$8</c:f>
              <c:numCache>
                <c:formatCode>General</c:formatCode>
                <c:ptCount val="12"/>
                <c:pt idx="0">
                  <c:v>90</c:v>
                </c:pt>
                <c:pt idx="1">
                  <c:v>123</c:v>
                </c:pt>
                <c:pt idx="2">
                  <c:v>231</c:v>
                </c:pt>
                <c:pt idx="3">
                  <c:v>301</c:v>
                </c:pt>
                <c:pt idx="4">
                  <c:v>384</c:v>
                </c:pt>
                <c:pt idx="5">
                  <c:v>367</c:v>
                </c:pt>
                <c:pt idx="6">
                  <c:v>285</c:v>
                </c:pt>
                <c:pt idx="7">
                  <c:v>197</c:v>
                </c:pt>
                <c:pt idx="8">
                  <c:v>109</c:v>
                </c:pt>
                <c:pt idx="9">
                  <c:v>61</c:v>
                </c:pt>
                <c:pt idx="10">
                  <c:v>48</c:v>
                </c:pt>
                <c:pt idx="11">
                  <c:v>63</c:v>
                </c:pt>
              </c:numCache>
            </c:numRef>
          </c:val>
        </c:ser>
        <c:ser>
          <c:idx val="7"/>
          <c:order val="7"/>
          <c:tx>
            <c:v>Buenos Aires</c:v>
          </c:tx>
          <c:spPr>
            <a:ln>
              <a:solidFill>
                <a:schemeClr val="tx1"/>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mata'!$B$9:$M$9</c:f>
              <c:numCache>
                <c:formatCode>General</c:formatCode>
                <c:ptCount val="12"/>
                <c:pt idx="0">
                  <c:v>44</c:v>
                </c:pt>
                <c:pt idx="1">
                  <c:v>70</c:v>
                </c:pt>
                <c:pt idx="2">
                  <c:v>132</c:v>
                </c:pt>
                <c:pt idx="3">
                  <c:v>161</c:v>
                </c:pt>
                <c:pt idx="4">
                  <c:v>137</c:v>
                </c:pt>
                <c:pt idx="5">
                  <c:v>149</c:v>
                </c:pt>
                <c:pt idx="6">
                  <c:v>199</c:v>
                </c:pt>
                <c:pt idx="7">
                  <c:v>88</c:v>
                </c:pt>
                <c:pt idx="8">
                  <c:v>63</c:v>
                </c:pt>
                <c:pt idx="9">
                  <c:v>20</c:v>
                </c:pt>
                <c:pt idx="10">
                  <c:v>22</c:v>
                </c:pt>
                <c:pt idx="11">
                  <c:v>36</c:v>
                </c:pt>
              </c:numCache>
            </c:numRef>
          </c:val>
        </c:ser>
        <c:ser>
          <c:idx val="8"/>
          <c:order val="8"/>
          <c:tx>
            <c:v>Carpina</c:v>
          </c:tx>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mata'!$B$10:$M$10</c:f>
              <c:numCache>
                <c:formatCode>General</c:formatCode>
                <c:ptCount val="12"/>
                <c:pt idx="0">
                  <c:v>35</c:v>
                </c:pt>
                <c:pt idx="1">
                  <c:v>59</c:v>
                </c:pt>
                <c:pt idx="2">
                  <c:v>110</c:v>
                </c:pt>
                <c:pt idx="3">
                  <c:v>136</c:v>
                </c:pt>
                <c:pt idx="4">
                  <c:v>167</c:v>
                </c:pt>
                <c:pt idx="5">
                  <c:v>179</c:v>
                </c:pt>
                <c:pt idx="6">
                  <c:v>141</c:v>
                </c:pt>
                <c:pt idx="7">
                  <c:v>82</c:v>
                </c:pt>
                <c:pt idx="8">
                  <c:v>34</c:v>
                </c:pt>
                <c:pt idx="9">
                  <c:v>19</c:v>
                </c:pt>
                <c:pt idx="10">
                  <c:v>19</c:v>
                </c:pt>
                <c:pt idx="11">
                  <c:v>31</c:v>
                </c:pt>
              </c:numCache>
            </c:numRef>
          </c:val>
        </c:ser>
        <c:ser>
          <c:idx val="9"/>
          <c:order val="9"/>
          <c:tx>
            <c:v>Matari</c:v>
          </c:tx>
          <c:spPr>
            <a:ln>
              <a:solidFill>
                <a:schemeClr val="tx1"/>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mata'!$B$11:$M$11</c:f>
              <c:numCache>
                <c:formatCode>General</c:formatCode>
                <c:ptCount val="12"/>
                <c:pt idx="0">
                  <c:v>53</c:v>
                </c:pt>
                <c:pt idx="1">
                  <c:v>86</c:v>
                </c:pt>
                <c:pt idx="2">
                  <c:v>142</c:v>
                </c:pt>
                <c:pt idx="3">
                  <c:v>183</c:v>
                </c:pt>
                <c:pt idx="4">
                  <c:v>225</c:v>
                </c:pt>
                <c:pt idx="5">
                  <c:v>221</c:v>
                </c:pt>
                <c:pt idx="6">
                  <c:v>135</c:v>
                </c:pt>
                <c:pt idx="7">
                  <c:v>88</c:v>
                </c:pt>
                <c:pt idx="8">
                  <c:v>48</c:v>
                </c:pt>
                <c:pt idx="9">
                  <c:v>21</c:v>
                </c:pt>
                <c:pt idx="10">
                  <c:v>32</c:v>
                </c:pt>
                <c:pt idx="11">
                  <c:v>32</c:v>
                </c:pt>
              </c:numCache>
            </c:numRef>
          </c:val>
        </c:ser>
        <c:ser>
          <c:idx val="10"/>
          <c:order val="10"/>
          <c:tx>
            <c:v>S. L. da Mata</c:v>
          </c:tx>
          <c:spPr>
            <a:ln>
              <a:solidFill>
                <a:schemeClr val="tx1"/>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mata'!$B$12:$M$12</c:f>
              <c:numCache>
                <c:formatCode>General</c:formatCode>
                <c:ptCount val="12"/>
                <c:pt idx="0">
                  <c:v>57</c:v>
                </c:pt>
                <c:pt idx="1">
                  <c:v>89</c:v>
                </c:pt>
                <c:pt idx="2">
                  <c:v>164</c:v>
                </c:pt>
                <c:pt idx="3">
                  <c:v>213</c:v>
                </c:pt>
                <c:pt idx="4">
                  <c:v>278</c:v>
                </c:pt>
                <c:pt idx="5">
                  <c:v>258</c:v>
                </c:pt>
                <c:pt idx="6">
                  <c:v>219</c:v>
                </c:pt>
                <c:pt idx="7">
                  <c:v>141</c:v>
                </c:pt>
                <c:pt idx="8">
                  <c:v>62</c:v>
                </c:pt>
                <c:pt idx="9">
                  <c:v>30</c:v>
                </c:pt>
                <c:pt idx="10">
                  <c:v>27</c:v>
                </c:pt>
                <c:pt idx="11">
                  <c:v>37</c:v>
                </c:pt>
              </c:numCache>
            </c:numRef>
          </c:val>
        </c:ser>
        <c:ser>
          <c:idx val="11"/>
          <c:order val="11"/>
          <c:tx>
            <c:v>V. de Sto. Antão</c:v>
          </c:tx>
          <c:spPr>
            <a:ln>
              <a:solidFill>
                <a:schemeClr val="tx1"/>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mata'!$B$13:$M$13</c:f>
              <c:numCache>
                <c:formatCode>General</c:formatCode>
                <c:ptCount val="12"/>
                <c:pt idx="0">
                  <c:v>46</c:v>
                </c:pt>
                <c:pt idx="1">
                  <c:v>65</c:v>
                </c:pt>
                <c:pt idx="2">
                  <c:v>123</c:v>
                </c:pt>
                <c:pt idx="3">
                  <c:v>123</c:v>
                </c:pt>
                <c:pt idx="4">
                  <c:v>144</c:v>
                </c:pt>
                <c:pt idx="5">
                  <c:v>161</c:v>
                </c:pt>
                <c:pt idx="6">
                  <c:v>129</c:v>
                </c:pt>
                <c:pt idx="7">
                  <c:v>74</c:v>
                </c:pt>
                <c:pt idx="8">
                  <c:v>45</c:v>
                </c:pt>
                <c:pt idx="9">
                  <c:v>27</c:v>
                </c:pt>
                <c:pt idx="10">
                  <c:v>26</c:v>
                </c:pt>
                <c:pt idx="11">
                  <c:v>39</c:v>
                </c:pt>
              </c:numCache>
            </c:numRef>
          </c:val>
        </c:ser>
        <c:axId val="137704960"/>
        <c:axId val="137706880"/>
      </c:barChart>
      <c:catAx>
        <c:axId val="137704960"/>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title>
        <c:majorTickMark val="none"/>
        <c:tickLblPos val="nextTo"/>
        <c:txPr>
          <a:bodyPr rot="-5400000" vert="horz"/>
          <a:lstStyle/>
          <a:p>
            <a:pPr>
              <a:defRPr sz="800">
                <a:latin typeface="Times New Roman" pitchFamily="18" charset="0"/>
                <a:cs typeface="Times New Roman" pitchFamily="18" charset="0"/>
              </a:defRPr>
            </a:pPr>
            <a:endParaRPr lang="pt-BR"/>
          </a:p>
        </c:txPr>
        <c:crossAx val="137706880"/>
        <c:crosses val="autoZero"/>
        <c:auto val="1"/>
        <c:lblAlgn val="ctr"/>
        <c:lblOffset val="100"/>
      </c:catAx>
      <c:valAx>
        <c:axId val="137706880"/>
        <c:scaling>
          <c:orientation val="minMax"/>
        </c:scaling>
        <c:axPos val="l"/>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Rainfall (mm)</a:t>
                </a:r>
              </a:p>
            </c:rich>
          </c:tx>
          <c:layout>
            <c:manualLayout>
              <c:xMode val="edge"/>
              <c:yMode val="edge"/>
              <c:x val="0"/>
              <c:y val="9.3365656565656721E-2"/>
            </c:manualLayout>
          </c:layout>
        </c:title>
        <c:numFmt formatCode="General" sourceLinked="1"/>
        <c:tickLblPos val="nextTo"/>
        <c:txPr>
          <a:bodyPr/>
          <a:lstStyle/>
          <a:p>
            <a:pPr>
              <a:defRPr sz="800">
                <a:latin typeface="Times New Roman" pitchFamily="18" charset="0"/>
                <a:cs typeface="Times New Roman" pitchFamily="18" charset="0"/>
              </a:defRPr>
            </a:pPr>
            <a:endParaRPr lang="pt-BR"/>
          </a:p>
        </c:txPr>
        <c:crossAx val="137704960"/>
        <c:crosses val="autoZero"/>
        <c:crossBetween val="between"/>
      </c:valAx>
    </c:plotArea>
    <c:legend>
      <c:legendPos val="r"/>
      <c:layout>
        <c:manualLayout>
          <c:xMode val="edge"/>
          <c:yMode val="edge"/>
          <c:x val="0"/>
          <c:y val="0.80269484126984481"/>
          <c:w val="0.99616025256774166"/>
          <c:h val="0.19663809523809525"/>
        </c:manualLayout>
      </c:layout>
      <c:txPr>
        <a:bodyPr/>
        <a:lstStyle/>
        <a:p>
          <a:pPr>
            <a:defRPr sz="600">
              <a:latin typeface="Times New Roman" pitchFamily="18" charset="0"/>
              <a:cs typeface="Times New Roman" pitchFamily="18" charset="0"/>
            </a:defRPr>
          </a:pPr>
          <a:endParaRPr lang="pt-BR"/>
        </a:p>
      </c:txPr>
    </c:legend>
    <c:plotVisOnly val="1"/>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pt-BR"/>
  <c:chart>
    <c:autoTitleDeleted val="1"/>
    <c:plotArea>
      <c:layout>
        <c:manualLayout>
          <c:layoutTarget val="inner"/>
          <c:xMode val="edge"/>
          <c:yMode val="edge"/>
          <c:x val="0.16631235994029242"/>
          <c:y val="4.4871233691976084E-2"/>
          <c:w val="0.81396776326302489"/>
          <c:h val="0.55835910255962362"/>
        </c:manualLayout>
      </c:layout>
      <c:barChart>
        <c:barDir val="col"/>
        <c:grouping val="clustered"/>
        <c:ser>
          <c:idx val="0"/>
          <c:order val="0"/>
          <c:tx>
            <c:v>Águas Belas</c:v>
          </c:tx>
          <c:spPr>
            <a:ln>
              <a:solidFill>
                <a:schemeClr val="tx1"/>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Agreste!$B$2:$M$2</c:f>
              <c:numCache>
                <c:formatCode>General</c:formatCode>
                <c:ptCount val="12"/>
                <c:pt idx="0">
                  <c:v>34</c:v>
                </c:pt>
                <c:pt idx="1">
                  <c:v>50</c:v>
                </c:pt>
                <c:pt idx="2">
                  <c:v>78</c:v>
                </c:pt>
                <c:pt idx="3">
                  <c:v>75</c:v>
                </c:pt>
                <c:pt idx="4">
                  <c:v>99</c:v>
                </c:pt>
                <c:pt idx="5">
                  <c:v>94</c:v>
                </c:pt>
                <c:pt idx="6">
                  <c:v>82</c:v>
                </c:pt>
                <c:pt idx="7">
                  <c:v>48</c:v>
                </c:pt>
                <c:pt idx="8">
                  <c:v>22</c:v>
                </c:pt>
                <c:pt idx="9">
                  <c:v>13</c:v>
                </c:pt>
                <c:pt idx="10">
                  <c:v>21</c:v>
                </c:pt>
                <c:pt idx="11">
                  <c:v>34</c:v>
                </c:pt>
              </c:numCache>
            </c:numRef>
          </c:val>
        </c:ser>
        <c:ser>
          <c:idx val="1"/>
          <c:order val="1"/>
          <c:tx>
            <c:v>Alagoinha</c:v>
          </c:tx>
          <c:val>
            <c:numRef>
              <c:f>Agreste!$B$3:$M$3</c:f>
              <c:numCache>
                <c:formatCode>General</c:formatCode>
                <c:ptCount val="12"/>
                <c:pt idx="0">
                  <c:v>39</c:v>
                </c:pt>
                <c:pt idx="1">
                  <c:v>66</c:v>
                </c:pt>
                <c:pt idx="2">
                  <c:v>105</c:v>
                </c:pt>
                <c:pt idx="3">
                  <c:v>128</c:v>
                </c:pt>
                <c:pt idx="4">
                  <c:v>56</c:v>
                </c:pt>
                <c:pt idx="5">
                  <c:v>59</c:v>
                </c:pt>
                <c:pt idx="6">
                  <c:v>54</c:v>
                </c:pt>
                <c:pt idx="7">
                  <c:v>14</c:v>
                </c:pt>
                <c:pt idx="8">
                  <c:v>11</c:v>
                </c:pt>
                <c:pt idx="9">
                  <c:v>13</c:v>
                </c:pt>
                <c:pt idx="10">
                  <c:v>14</c:v>
                </c:pt>
                <c:pt idx="11">
                  <c:v>30</c:v>
                </c:pt>
              </c:numCache>
            </c:numRef>
          </c:val>
        </c:ser>
        <c:ser>
          <c:idx val="2"/>
          <c:order val="2"/>
          <c:tx>
            <c:v>Bezerros</c:v>
          </c:tx>
          <c:spPr>
            <a:ln>
              <a:solidFill>
                <a:schemeClr val="tx1"/>
              </a:solidFill>
            </a:ln>
          </c:spPr>
          <c:val>
            <c:numRef>
              <c:f>Agreste!$B$4:$M$4</c:f>
              <c:numCache>
                <c:formatCode>General</c:formatCode>
                <c:ptCount val="12"/>
                <c:pt idx="0">
                  <c:v>27</c:v>
                </c:pt>
                <c:pt idx="1">
                  <c:v>64</c:v>
                </c:pt>
                <c:pt idx="2">
                  <c:v>95</c:v>
                </c:pt>
                <c:pt idx="3">
                  <c:v>112</c:v>
                </c:pt>
                <c:pt idx="4">
                  <c:v>65</c:v>
                </c:pt>
                <c:pt idx="5">
                  <c:v>57</c:v>
                </c:pt>
                <c:pt idx="6">
                  <c:v>75</c:v>
                </c:pt>
                <c:pt idx="7">
                  <c:v>30</c:v>
                </c:pt>
                <c:pt idx="8">
                  <c:v>18</c:v>
                </c:pt>
                <c:pt idx="9">
                  <c:v>14</c:v>
                </c:pt>
                <c:pt idx="10">
                  <c:v>12</c:v>
                </c:pt>
                <c:pt idx="11">
                  <c:v>29</c:v>
                </c:pt>
              </c:numCache>
            </c:numRef>
          </c:val>
        </c:ser>
        <c:ser>
          <c:idx val="3"/>
          <c:order val="3"/>
          <c:tx>
            <c:v>Gravatá</c:v>
          </c:tx>
          <c:spPr>
            <a:ln>
              <a:solidFill>
                <a:schemeClr val="tx1"/>
              </a:solidFill>
            </a:ln>
          </c:spPr>
          <c:val>
            <c:numRef>
              <c:f>Agreste!$B$5:$M$5</c:f>
              <c:numCache>
                <c:formatCode>General</c:formatCode>
                <c:ptCount val="12"/>
                <c:pt idx="0">
                  <c:v>25</c:v>
                </c:pt>
                <c:pt idx="1">
                  <c:v>35</c:v>
                </c:pt>
                <c:pt idx="2">
                  <c:v>73</c:v>
                </c:pt>
                <c:pt idx="3">
                  <c:v>71</c:v>
                </c:pt>
                <c:pt idx="4">
                  <c:v>77</c:v>
                </c:pt>
                <c:pt idx="5">
                  <c:v>71</c:v>
                </c:pt>
                <c:pt idx="6">
                  <c:v>55</c:v>
                </c:pt>
                <c:pt idx="7">
                  <c:v>26</c:v>
                </c:pt>
                <c:pt idx="8">
                  <c:v>18</c:v>
                </c:pt>
                <c:pt idx="9">
                  <c:v>12</c:v>
                </c:pt>
                <c:pt idx="10">
                  <c:v>14</c:v>
                </c:pt>
                <c:pt idx="11">
                  <c:v>16</c:v>
                </c:pt>
              </c:numCache>
            </c:numRef>
          </c:val>
        </c:ser>
        <c:ser>
          <c:idx val="4"/>
          <c:order val="4"/>
          <c:tx>
            <c:v>Pesqueira</c:v>
          </c:tx>
          <c:spPr>
            <a:ln>
              <a:solidFill>
                <a:schemeClr val="tx1"/>
              </a:solidFill>
            </a:ln>
          </c:spPr>
          <c:val>
            <c:numRef>
              <c:f>Agreste!$B$6:$M$6</c:f>
              <c:numCache>
                <c:formatCode>General</c:formatCode>
                <c:ptCount val="12"/>
                <c:pt idx="0">
                  <c:v>33</c:v>
                </c:pt>
                <c:pt idx="1">
                  <c:v>70</c:v>
                </c:pt>
                <c:pt idx="2">
                  <c:v>97</c:v>
                </c:pt>
                <c:pt idx="3">
                  <c:v>109</c:v>
                </c:pt>
                <c:pt idx="4">
                  <c:v>94</c:v>
                </c:pt>
                <c:pt idx="5">
                  <c:v>77</c:v>
                </c:pt>
                <c:pt idx="6">
                  <c:v>67</c:v>
                </c:pt>
                <c:pt idx="7">
                  <c:v>33</c:v>
                </c:pt>
                <c:pt idx="8">
                  <c:v>19</c:v>
                </c:pt>
                <c:pt idx="9">
                  <c:v>16</c:v>
                </c:pt>
                <c:pt idx="10">
                  <c:v>20</c:v>
                </c:pt>
                <c:pt idx="11">
                  <c:v>30</c:v>
                </c:pt>
              </c:numCache>
            </c:numRef>
          </c:val>
        </c:ser>
        <c:ser>
          <c:idx val="5"/>
          <c:order val="5"/>
          <c:tx>
            <c:v>Cimbres</c:v>
          </c:tx>
          <c:spPr>
            <a:ln>
              <a:solidFill>
                <a:schemeClr val="tx1"/>
              </a:solidFill>
            </a:ln>
          </c:spPr>
          <c:val>
            <c:numRef>
              <c:f>Agreste!$B$7:$M$7</c:f>
              <c:numCache>
                <c:formatCode>General</c:formatCode>
                <c:ptCount val="12"/>
                <c:pt idx="0">
                  <c:v>41</c:v>
                </c:pt>
                <c:pt idx="1">
                  <c:v>87</c:v>
                </c:pt>
                <c:pt idx="2">
                  <c:v>131</c:v>
                </c:pt>
                <c:pt idx="3">
                  <c:v>117</c:v>
                </c:pt>
                <c:pt idx="4">
                  <c:v>105</c:v>
                </c:pt>
                <c:pt idx="5">
                  <c:v>115</c:v>
                </c:pt>
                <c:pt idx="6">
                  <c:v>108</c:v>
                </c:pt>
                <c:pt idx="7">
                  <c:v>43</c:v>
                </c:pt>
                <c:pt idx="8">
                  <c:v>30</c:v>
                </c:pt>
                <c:pt idx="9">
                  <c:v>9</c:v>
                </c:pt>
                <c:pt idx="10">
                  <c:v>19</c:v>
                </c:pt>
                <c:pt idx="11">
                  <c:v>27</c:v>
                </c:pt>
              </c:numCache>
            </c:numRef>
          </c:val>
        </c:ser>
        <c:ser>
          <c:idx val="6"/>
          <c:order val="6"/>
          <c:tx>
            <c:v>São Caetano</c:v>
          </c:tx>
          <c:spPr>
            <a:ln>
              <a:solidFill>
                <a:schemeClr val="tx1"/>
              </a:solidFill>
            </a:ln>
          </c:spPr>
          <c:val>
            <c:numRef>
              <c:f>Agreste!$B$8:$M$8</c:f>
              <c:numCache>
                <c:formatCode>General</c:formatCode>
                <c:ptCount val="12"/>
                <c:pt idx="0">
                  <c:v>30</c:v>
                </c:pt>
                <c:pt idx="1">
                  <c:v>49</c:v>
                </c:pt>
                <c:pt idx="2">
                  <c:v>72</c:v>
                </c:pt>
                <c:pt idx="3">
                  <c:v>70</c:v>
                </c:pt>
                <c:pt idx="4">
                  <c:v>50</c:v>
                </c:pt>
                <c:pt idx="5">
                  <c:v>61</c:v>
                </c:pt>
                <c:pt idx="6">
                  <c:v>61</c:v>
                </c:pt>
                <c:pt idx="7">
                  <c:v>24</c:v>
                </c:pt>
                <c:pt idx="8">
                  <c:v>16</c:v>
                </c:pt>
                <c:pt idx="9">
                  <c:v>9</c:v>
                </c:pt>
                <c:pt idx="10">
                  <c:v>11</c:v>
                </c:pt>
                <c:pt idx="11">
                  <c:v>23</c:v>
                </c:pt>
              </c:numCache>
            </c:numRef>
          </c:val>
        </c:ser>
        <c:ser>
          <c:idx val="7"/>
          <c:order val="7"/>
          <c:tx>
            <c:v>S. B. do Una</c:v>
          </c:tx>
          <c:val>
            <c:numRef>
              <c:f>Agreste!$B$9:$M$9</c:f>
              <c:numCache>
                <c:formatCode>General</c:formatCode>
                <c:ptCount val="12"/>
                <c:pt idx="0">
                  <c:v>37</c:v>
                </c:pt>
                <c:pt idx="1">
                  <c:v>53</c:v>
                </c:pt>
                <c:pt idx="2">
                  <c:v>93</c:v>
                </c:pt>
                <c:pt idx="3">
                  <c:v>83</c:v>
                </c:pt>
                <c:pt idx="4">
                  <c:v>77</c:v>
                </c:pt>
                <c:pt idx="5">
                  <c:v>69</c:v>
                </c:pt>
                <c:pt idx="6">
                  <c:v>59</c:v>
                </c:pt>
                <c:pt idx="7">
                  <c:v>30</c:v>
                </c:pt>
                <c:pt idx="8">
                  <c:v>18</c:v>
                </c:pt>
                <c:pt idx="9">
                  <c:v>17</c:v>
                </c:pt>
                <c:pt idx="10">
                  <c:v>22</c:v>
                </c:pt>
                <c:pt idx="11">
                  <c:v>25</c:v>
                </c:pt>
              </c:numCache>
            </c:numRef>
          </c:val>
        </c:ser>
        <c:ser>
          <c:idx val="8"/>
          <c:order val="8"/>
          <c:tx>
            <c:v>Correntes</c:v>
          </c:tx>
          <c:spPr>
            <a:ln>
              <a:solidFill>
                <a:schemeClr val="tx1"/>
              </a:solidFill>
            </a:ln>
          </c:spPr>
          <c:val>
            <c:numRef>
              <c:f>Agreste!$B$10:$M$10</c:f>
              <c:numCache>
                <c:formatCode>General</c:formatCode>
                <c:ptCount val="12"/>
                <c:pt idx="0">
                  <c:v>40</c:v>
                </c:pt>
                <c:pt idx="1">
                  <c:v>39</c:v>
                </c:pt>
                <c:pt idx="2">
                  <c:v>93</c:v>
                </c:pt>
                <c:pt idx="3">
                  <c:v>106</c:v>
                </c:pt>
                <c:pt idx="4">
                  <c:v>142</c:v>
                </c:pt>
                <c:pt idx="5">
                  <c:v>182</c:v>
                </c:pt>
                <c:pt idx="6">
                  <c:v>175</c:v>
                </c:pt>
                <c:pt idx="7">
                  <c:v>101</c:v>
                </c:pt>
                <c:pt idx="8">
                  <c:v>59</c:v>
                </c:pt>
                <c:pt idx="9">
                  <c:v>28</c:v>
                </c:pt>
                <c:pt idx="10">
                  <c:v>18</c:v>
                </c:pt>
                <c:pt idx="11">
                  <c:v>28</c:v>
                </c:pt>
              </c:numCache>
            </c:numRef>
          </c:val>
        </c:ser>
        <c:ser>
          <c:idx val="9"/>
          <c:order val="9"/>
          <c:tx>
            <c:v>Garanhuns</c:v>
          </c:tx>
          <c:val>
            <c:numRef>
              <c:f>Agreste!$B$11:$M$11</c:f>
              <c:numCache>
                <c:formatCode>General</c:formatCode>
                <c:ptCount val="12"/>
                <c:pt idx="0">
                  <c:v>30</c:v>
                </c:pt>
                <c:pt idx="1">
                  <c:v>33</c:v>
                </c:pt>
                <c:pt idx="2">
                  <c:v>73</c:v>
                </c:pt>
                <c:pt idx="3">
                  <c:v>79</c:v>
                </c:pt>
                <c:pt idx="4">
                  <c:v>148</c:v>
                </c:pt>
                <c:pt idx="5">
                  <c:v>130</c:v>
                </c:pt>
                <c:pt idx="6">
                  <c:v>95</c:v>
                </c:pt>
                <c:pt idx="7">
                  <c:v>80</c:v>
                </c:pt>
                <c:pt idx="8">
                  <c:v>32</c:v>
                </c:pt>
                <c:pt idx="9">
                  <c:v>18</c:v>
                </c:pt>
                <c:pt idx="10">
                  <c:v>18</c:v>
                </c:pt>
                <c:pt idx="11">
                  <c:v>20</c:v>
                </c:pt>
              </c:numCache>
            </c:numRef>
          </c:val>
        </c:ser>
        <c:ser>
          <c:idx val="10"/>
          <c:order val="10"/>
          <c:tx>
            <c:v>S. J. do Monte</c:v>
          </c:tx>
          <c:spPr>
            <a:ln>
              <a:solidFill>
                <a:schemeClr val="tx1"/>
              </a:solidFill>
            </a:ln>
          </c:spPr>
          <c:val>
            <c:numRef>
              <c:f>Agreste!$B$12:$M$12</c:f>
              <c:numCache>
                <c:formatCode>General</c:formatCode>
                <c:ptCount val="12"/>
                <c:pt idx="0">
                  <c:v>33</c:v>
                </c:pt>
                <c:pt idx="1">
                  <c:v>45</c:v>
                </c:pt>
                <c:pt idx="2">
                  <c:v>98</c:v>
                </c:pt>
                <c:pt idx="3">
                  <c:v>120</c:v>
                </c:pt>
                <c:pt idx="4">
                  <c:v>125</c:v>
                </c:pt>
                <c:pt idx="5">
                  <c:v>143</c:v>
                </c:pt>
                <c:pt idx="6">
                  <c:v>190</c:v>
                </c:pt>
                <c:pt idx="7">
                  <c:v>88</c:v>
                </c:pt>
                <c:pt idx="8">
                  <c:v>60</c:v>
                </c:pt>
                <c:pt idx="9">
                  <c:v>16</c:v>
                </c:pt>
                <c:pt idx="10">
                  <c:v>13</c:v>
                </c:pt>
                <c:pt idx="11">
                  <c:v>22</c:v>
                </c:pt>
              </c:numCache>
            </c:numRef>
          </c:val>
        </c:ser>
        <c:ser>
          <c:idx val="11"/>
          <c:order val="11"/>
          <c:tx>
            <c:v>Bom Jardim</c:v>
          </c:tx>
          <c:spPr>
            <a:ln>
              <a:solidFill>
                <a:schemeClr val="tx1"/>
              </a:solidFill>
            </a:ln>
          </c:spPr>
          <c:val>
            <c:numRef>
              <c:f>Agreste!$B$13:$M$13</c:f>
              <c:numCache>
                <c:formatCode>General</c:formatCode>
                <c:ptCount val="12"/>
                <c:pt idx="0">
                  <c:v>81</c:v>
                </c:pt>
                <c:pt idx="1">
                  <c:v>95</c:v>
                </c:pt>
                <c:pt idx="2">
                  <c:v>146</c:v>
                </c:pt>
                <c:pt idx="3">
                  <c:v>189</c:v>
                </c:pt>
                <c:pt idx="4">
                  <c:v>219</c:v>
                </c:pt>
                <c:pt idx="5">
                  <c:v>237</c:v>
                </c:pt>
                <c:pt idx="6">
                  <c:v>212</c:v>
                </c:pt>
                <c:pt idx="7">
                  <c:v>116</c:v>
                </c:pt>
                <c:pt idx="8">
                  <c:v>70</c:v>
                </c:pt>
                <c:pt idx="9">
                  <c:v>30</c:v>
                </c:pt>
                <c:pt idx="10">
                  <c:v>32</c:v>
                </c:pt>
                <c:pt idx="11">
                  <c:v>53</c:v>
                </c:pt>
              </c:numCache>
            </c:numRef>
          </c:val>
        </c:ser>
        <c:ser>
          <c:idx val="12"/>
          <c:order val="12"/>
          <c:tx>
            <c:v>Limoeiro</c:v>
          </c:tx>
          <c:spPr>
            <a:ln>
              <a:solidFill>
                <a:schemeClr val="tx1"/>
              </a:solidFill>
            </a:ln>
          </c:spPr>
          <c:val>
            <c:numRef>
              <c:f>Agreste!$B$14:$M$14</c:f>
              <c:numCache>
                <c:formatCode>General</c:formatCode>
                <c:ptCount val="12"/>
                <c:pt idx="0">
                  <c:v>47</c:v>
                </c:pt>
                <c:pt idx="1">
                  <c:v>60</c:v>
                </c:pt>
                <c:pt idx="2">
                  <c:v>91</c:v>
                </c:pt>
                <c:pt idx="3">
                  <c:v>115</c:v>
                </c:pt>
                <c:pt idx="4">
                  <c:v>124</c:v>
                </c:pt>
                <c:pt idx="5">
                  <c:v>154</c:v>
                </c:pt>
                <c:pt idx="6">
                  <c:v>147</c:v>
                </c:pt>
                <c:pt idx="7">
                  <c:v>67</c:v>
                </c:pt>
                <c:pt idx="8">
                  <c:v>44</c:v>
                </c:pt>
                <c:pt idx="9">
                  <c:v>18</c:v>
                </c:pt>
                <c:pt idx="10">
                  <c:v>17</c:v>
                </c:pt>
                <c:pt idx="11">
                  <c:v>30</c:v>
                </c:pt>
              </c:numCache>
            </c:numRef>
          </c:val>
        </c:ser>
        <c:ser>
          <c:idx val="13"/>
          <c:order val="13"/>
          <c:tx>
            <c:v>Caruaru</c:v>
          </c:tx>
          <c:spPr>
            <a:ln>
              <a:solidFill>
                <a:schemeClr val="tx1"/>
              </a:solidFill>
            </a:ln>
          </c:spPr>
          <c:val>
            <c:numRef>
              <c:f>Agreste!$B$15:$M$15</c:f>
              <c:numCache>
                <c:formatCode>General</c:formatCode>
                <c:ptCount val="12"/>
                <c:pt idx="0">
                  <c:v>26</c:v>
                </c:pt>
                <c:pt idx="1">
                  <c:v>45</c:v>
                </c:pt>
                <c:pt idx="2">
                  <c:v>59</c:v>
                </c:pt>
                <c:pt idx="3">
                  <c:v>71</c:v>
                </c:pt>
                <c:pt idx="4">
                  <c:v>80</c:v>
                </c:pt>
                <c:pt idx="5">
                  <c:v>94</c:v>
                </c:pt>
                <c:pt idx="6">
                  <c:v>76</c:v>
                </c:pt>
                <c:pt idx="7">
                  <c:v>40</c:v>
                </c:pt>
                <c:pt idx="8">
                  <c:v>23</c:v>
                </c:pt>
                <c:pt idx="9">
                  <c:v>6</c:v>
                </c:pt>
                <c:pt idx="10">
                  <c:v>12</c:v>
                </c:pt>
                <c:pt idx="11">
                  <c:v>12</c:v>
                </c:pt>
              </c:numCache>
            </c:numRef>
          </c:val>
        </c:ser>
        <c:axId val="138036736"/>
        <c:axId val="138038656"/>
      </c:barChart>
      <c:catAx>
        <c:axId val="138036736"/>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title>
        <c:majorTickMark val="none"/>
        <c:tickLblPos val="nextTo"/>
        <c:txPr>
          <a:bodyPr rot="-5400000" vert="horz"/>
          <a:lstStyle/>
          <a:p>
            <a:pPr>
              <a:defRPr sz="800">
                <a:latin typeface="Times New Roman" pitchFamily="18" charset="0"/>
                <a:cs typeface="Times New Roman" pitchFamily="18" charset="0"/>
              </a:defRPr>
            </a:pPr>
            <a:endParaRPr lang="pt-BR"/>
          </a:p>
        </c:txPr>
        <c:crossAx val="138038656"/>
        <c:crosses val="autoZero"/>
        <c:auto val="1"/>
        <c:lblAlgn val="ctr"/>
        <c:lblOffset val="100"/>
      </c:catAx>
      <c:valAx>
        <c:axId val="138038656"/>
        <c:scaling>
          <c:orientation val="minMax"/>
          <c:max val="450"/>
        </c:scaling>
        <c:axPos val="l"/>
        <c:numFmt formatCode="General" sourceLinked="1"/>
        <c:tickLblPos val="nextTo"/>
        <c:txPr>
          <a:bodyPr/>
          <a:lstStyle/>
          <a:p>
            <a:pPr>
              <a:defRPr sz="800">
                <a:latin typeface="Times New Roman" pitchFamily="18" charset="0"/>
                <a:cs typeface="Times New Roman" pitchFamily="18" charset="0"/>
              </a:defRPr>
            </a:pPr>
            <a:endParaRPr lang="pt-BR"/>
          </a:p>
        </c:txPr>
        <c:crossAx val="138036736"/>
        <c:crosses val="autoZero"/>
        <c:crossBetween val="between"/>
      </c:valAx>
    </c:plotArea>
    <c:legend>
      <c:legendPos val="r"/>
      <c:layout>
        <c:manualLayout>
          <c:xMode val="edge"/>
          <c:yMode val="edge"/>
          <c:x val="9.1372511301336889E-2"/>
          <c:y val="0.80137118324618861"/>
          <c:w val="0.90111623658854045"/>
          <c:h val="0.19862881675381117"/>
        </c:manualLayout>
      </c:layout>
      <c:txPr>
        <a:bodyPr/>
        <a:lstStyle/>
        <a:p>
          <a:pPr>
            <a:defRPr sz="600">
              <a:latin typeface="Times New Roman" pitchFamily="18" charset="0"/>
              <a:cs typeface="Times New Roman" pitchFamily="18" charset="0"/>
            </a:defRPr>
          </a:pPr>
          <a:endParaRPr lang="pt-BR"/>
        </a:p>
      </c:txPr>
    </c:legend>
    <c:plotVisOnly val="1"/>
  </c:chart>
  <c:spPr>
    <a:ln>
      <a:no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pt-BR"/>
  <c:chart>
    <c:autoTitleDeleted val="1"/>
    <c:plotArea>
      <c:layout>
        <c:manualLayout>
          <c:layoutTarget val="inner"/>
          <c:xMode val="edge"/>
          <c:yMode val="edge"/>
          <c:x val="0.15617972578602501"/>
          <c:y val="2.884012539184954E-2"/>
          <c:w val="0.81047335866233472"/>
          <c:h val="0.59212845259546354"/>
        </c:manualLayout>
      </c:layout>
      <c:barChart>
        <c:barDir val="col"/>
        <c:grouping val="clustered"/>
        <c:ser>
          <c:idx val="0"/>
          <c:order val="0"/>
          <c:tx>
            <c:v>Araripina</c:v>
          </c:tx>
          <c:spPr>
            <a:ln>
              <a:solidFill>
                <a:schemeClr val="tx1"/>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Sertão!$B$2:$M$2</c:f>
              <c:numCache>
                <c:formatCode>General</c:formatCode>
                <c:ptCount val="12"/>
                <c:pt idx="0">
                  <c:v>114</c:v>
                </c:pt>
                <c:pt idx="1">
                  <c:v>126.5</c:v>
                </c:pt>
                <c:pt idx="2">
                  <c:v>178.6</c:v>
                </c:pt>
                <c:pt idx="3">
                  <c:v>81.400000000000006</c:v>
                </c:pt>
                <c:pt idx="4">
                  <c:v>23.2</c:v>
                </c:pt>
                <c:pt idx="5">
                  <c:v>11.2</c:v>
                </c:pt>
                <c:pt idx="6">
                  <c:v>5.6</c:v>
                </c:pt>
                <c:pt idx="7">
                  <c:v>2.5</c:v>
                </c:pt>
                <c:pt idx="8">
                  <c:v>2.5</c:v>
                </c:pt>
                <c:pt idx="9">
                  <c:v>10.3</c:v>
                </c:pt>
                <c:pt idx="10">
                  <c:v>41.7</c:v>
                </c:pt>
                <c:pt idx="11">
                  <c:v>75.099999999999994</c:v>
                </c:pt>
              </c:numCache>
            </c:numRef>
          </c:val>
        </c:ser>
        <c:ser>
          <c:idx val="1"/>
          <c:order val="1"/>
          <c:tx>
            <c:v>S. J. do Egito</c:v>
          </c:tx>
          <c:spPr>
            <a:ln>
              <a:solidFill>
                <a:schemeClr val="tx1"/>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Sertão!$B$3:$M$3</c:f>
              <c:numCache>
                <c:formatCode>General</c:formatCode>
                <c:ptCount val="12"/>
                <c:pt idx="0">
                  <c:v>49</c:v>
                </c:pt>
                <c:pt idx="1">
                  <c:v>96</c:v>
                </c:pt>
                <c:pt idx="2">
                  <c:v>138</c:v>
                </c:pt>
                <c:pt idx="3">
                  <c:v>123</c:v>
                </c:pt>
                <c:pt idx="4">
                  <c:v>53</c:v>
                </c:pt>
                <c:pt idx="5">
                  <c:v>31</c:v>
                </c:pt>
                <c:pt idx="6">
                  <c:v>19</c:v>
                </c:pt>
                <c:pt idx="7">
                  <c:v>5</c:v>
                </c:pt>
                <c:pt idx="8">
                  <c:v>3</c:v>
                </c:pt>
                <c:pt idx="9">
                  <c:v>3</c:v>
                </c:pt>
                <c:pt idx="10">
                  <c:v>6</c:v>
                </c:pt>
                <c:pt idx="11">
                  <c:v>21</c:v>
                </c:pt>
              </c:numCache>
            </c:numRef>
          </c:val>
        </c:ser>
        <c:ser>
          <c:idx val="2"/>
          <c:order val="2"/>
          <c:tx>
            <c:v>Exu</c:v>
          </c:tx>
          <c:spPr>
            <a:ln>
              <a:solidFill>
                <a:schemeClr val="tx1"/>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Sertão!$B$4:$M$4</c:f>
              <c:numCache>
                <c:formatCode>General</c:formatCode>
                <c:ptCount val="12"/>
                <c:pt idx="0">
                  <c:v>97</c:v>
                </c:pt>
                <c:pt idx="1">
                  <c:v>131</c:v>
                </c:pt>
                <c:pt idx="2">
                  <c:v>183</c:v>
                </c:pt>
                <c:pt idx="3">
                  <c:v>125</c:v>
                </c:pt>
                <c:pt idx="4">
                  <c:v>74</c:v>
                </c:pt>
                <c:pt idx="5">
                  <c:v>36</c:v>
                </c:pt>
                <c:pt idx="6">
                  <c:v>25</c:v>
                </c:pt>
                <c:pt idx="7">
                  <c:v>13</c:v>
                </c:pt>
                <c:pt idx="8">
                  <c:v>8</c:v>
                </c:pt>
                <c:pt idx="9">
                  <c:v>23</c:v>
                </c:pt>
                <c:pt idx="10">
                  <c:v>43</c:v>
                </c:pt>
                <c:pt idx="11">
                  <c:v>68</c:v>
                </c:pt>
              </c:numCache>
            </c:numRef>
          </c:val>
        </c:ser>
        <c:ser>
          <c:idx val="3"/>
          <c:order val="3"/>
          <c:tx>
            <c:v>S. J. Belmonte</c:v>
          </c:tx>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Sertão!$B$5:$M$5</c:f>
              <c:numCache>
                <c:formatCode>General</c:formatCode>
                <c:ptCount val="12"/>
                <c:pt idx="0">
                  <c:v>90</c:v>
                </c:pt>
                <c:pt idx="1">
                  <c:v>121</c:v>
                </c:pt>
                <c:pt idx="2">
                  <c:v>164</c:v>
                </c:pt>
                <c:pt idx="3">
                  <c:v>118</c:v>
                </c:pt>
                <c:pt idx="4">
                  <c:v>35</c:v>
                </c:pt>
                <c:pt idx="5">
                  <c:v>20</c:v>
                </c:pt>
                <c:pt idx="6">
                  <c:v>12</c:v>
                </c:pt>
                <c:pt idx="7">
                  <c:v>2</c:v>
                </c:pt>
                <c:pt idx="8">
                  <c:v>4</c:v>
                </c:pt>
                <c:pt idx="9">
                  <c:v>10</c:v>
                </c:pt>
                <c:pt idx="10">
                  <c:v>33</c:v>
                </c:pt>
                <c:pt idx="11">
                  <c:v>50</c:v>
                </c:pt>
              </c:numCache>
            </c:numRef>
          </c:val>
        </c:ser>
        <c:ser>
          <c:idx val="4"/>
          <c:order val="4"/>
          <c:tx>
            <c:v>Verdejante</c:v>
          </c:tx>
          <c:spPr>
            <a:ln>
              <a:solidFill>
                <a:schemeClr val="tx1"/>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Sertão!$B$6:$M$6</c:f>
              <c:numCache>
                <c:formatCode>General</c:formatCode>
                <c:ptCount val="12"/>
                <c:pt idx="0">
                  <c:v>63</c:v>
                </c:pt>
                <c:pt idx="1">
                  <c:v>80</c:v>
                </c:pt>
                <c:pt idx="2">
                  <c:v>143</c:v>
                </c:pt>
                <c:pt idx="3">
                  <c:v>106</c:v>
                </c:pt>
                <c:pt idx="4">
                  <c:v>25</c:v>
                </c:pt>
                <c:pt idx="5">
                  <c:v>8</c:v>
                </c:pt>
                <c:pt idx="6">
                  <c:v>4</c:v>
                </c:pt>
                <c:pt idx="7">
                  <c:v>0</c:v>
                </c:pt>
                <c:pt idx="8">
                  <c:v>4</c:v>
                </c:pt>
                <c:pt idx="9">
                  <c:v>7</c:v>
                </c:pt>
                <c:pt idx="10">
                  <c:v>14</c:v>
                </c:pt>
                <c:pt idx="11">
                  <c:v>49</c:v>
                </c:pt>
              </c:numCache>
            </c:numRef>
          </c:val>
        </c:ser>
        <c:ser>
          <c:idx val="5"/>
          <c:order val="5"/>
          <c:tx>
            <c:v>Parnamirim</c:v>
          </c:tx>
          <c:spPr>
            <a:ln>
              <a:solidFill>
                <a:schemeClr val="tx1"/>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Sertão!$B$7:$M$7</c:f>
              <c:numCache>
                <c:formatCode>General</c:formatCode>
                <c:ptCount val="12"/>
                <c:pt idx="0">
                  <c:v>81</c:v>
                </c:pt>
                <c:pt idx="1">
                  <c:v>102</c:v>
                </c:pt>
                <c:pt idx="2">
                  <c:v>136</c:v>
                </c:pt>
                <c:pt idx="3">
                  <c:v>81</c:v>
                </c:pt>
                <c:pt idx="4">
                  <c:v>28</c:v>
                </c:pt>
                <c:pt idx="5">
                  <c:v>10</c:v>
                </c:pt>
                <c:pt idx="6">
                  <c:v>8</c:v>
                </c:pt>
                <c:pt idx="7">
                  <c:v>3</c:v>
                </c:pt>
                <c:pt idx="8">
                  <c:v>4</c:v>
                </c:pt>
                <c:pt idx="9">
                  <c:v>15</c:v>
                </c:pt>
                <c:pt idx="10">
                  <c:v>32</c:v>
                </c:pt>
                <c:pt idx="11">
                  <c:v>57</c:v>
                </c:pt>
              </c:numCache>
            </c:numRef>
          </c:val>
        </c:ser>
        <c:ser>
          <c:idx val="6"/>
          <c:order val="6"/>
          <c:tx>
            <c:v>Salgueiro</c:v>
          </c:tx>
          <c:spPr>
            <a:ln>
              <a:solidFill>
                <a:schemeClr val="tx1"/>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Sertão!$B$8:$M$8</c:f>
              <c:numCache>
                <c:formatCode>General</c:formatCode>
                <c:ptCount val="12"/>
                <c:pt idx="0">
                  <c:v>85</c:v>
                </c:pt>
                <c:pt idx="1">
                  <c:v>104</c:v>
                </c:pt>
                <c:pt idx="2">
                  <c:v>158</c:v>
                </c:pt>
                <c:pt idx="3">
                  <c:v>79</c:v>
                </c:pt>
                <c:pt idx="4">
                  <c:v>26</c:v>
                </c:pt>
                <c:pt idx="5">
                  <c:v>11</c:v>
                </c:pt>
                <c:pt idx="6">
                  <c:v>9</c:v>
                </c:pt>
                <c:pt idx="7">
                  <c:v>3</c:v>
                </c:pt>
                <c:pt idx="8">
                  <c:v>6</c:v>
                </c:pt>
                <c:pt idx="9">
                  <c:v>15</c:v>
                </c:pt>
                <c:pt idx="10">
                  <c:v>34</c:v>
                </c:pt>
                <c:pt idx="11">
                  <c:v>60</c:v>
                </c:pt>
              </c:numCache>
            </c:numRef>
          </c:val>
        </c:ser>
        <c:ser>
          <c:idx val="7"/>
          <c:order val="7"/>
          <c:tx>
            <c:v>Moxotó</c:v>
          </c:tx>
          <c:spPr>
            <a:ln>
              <a:solidFill>
                <a:schemeClr val="tx1"/>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Sertão!$B$9:$M$9</c:f>
              <c:numCache>
                <c:formatCode>General</c:formatCode>
                <c:ptCount val="12"/>
                <c:pt idx="0">
                  <c:v>57</c:v>
                </c:pt>
                <c:pt idx="1">
                  <c:v>5</c:v>
                </c:pt>
                <c:pt idx="2">
                  <c:v>122</c:v>
                </c:pt>
                <c:pt idx="3">
                  <c:v>77</c:v>
                </c:pt>
                <c:pt idx="4">
                  <c:v>36</c:v>
                </c:pt>
                <c:pt idx="5">
                  <c:v>20</c:v>
                </c:pt>
                <c:pt idx="6">
                  <c:v>16</c:v>
                </c:pt>
                <c:pt idx="7">
                  <c:v>5</c:v>
                </c:pt>
                <c:pt idx="8">
                  <c:v>4</c:v>
                </c:pt>
                <c:pt idx="9">
                  <c:v>6</c:v>
                </c:pt>
                <c:pt idx="10">
                  <c:v>26</c:v>
                </c:pt>
                <c:pt idx="11">
                  <c:v>35</c:v>
                </c:pt>
              </c:numCache>
            </c:numRef>
          </c:val>
        </c:ser>
        <c:ser>
          <c:idx val="8"/>
          <c:order val="8"/>
          <c:tx>
            <c:v>Arcoverde</c:v>
          </c:tx>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Sertão!$B$10:$M$10</c:f>
              <c:numCache>
                <c:formatCode>General</c:formatCode>
                <c:ptCount val="12"/>
                <c:pt idx="0">
                  <c:v>39</c:v>
                </c:pt>
                <c:pt idx="1">
                  <c:v>60</c:v>
                </c:pt>
                <c:pt idx="2">
                  <c:v>96</c:v>
                </c:pt>
                <c:pt idx="3">
                  <c:v>84</c:v>
                </c:pt>
                <c:pt idx="4">
                  <c:v>81</c:v>
                </c:pt>
                <c:pt idx="5">
                  <c:v>63</c:v>
                </c:pt>
                <c:pt idx="6">
                  <c:v>61</c:v>
                </c:pt>
                <c:pt idx="7">
                  <c:v>30</c:v>
                </c:pt>
                <c:pt idx="8">
                  <c:v>13</c:v>
                </c:pt>
                <c:pt idx="9">
                  <c:v>12</c:v>
                </c:pt>
                <c:pt idx="10">
                  <c:v>15</c:v>
                </c:pt>
                <c:pt idx="11">
                  <c:v>27</c:v>
                </c:pt>
              </c:numCache>
            </c:numRef>
          </c:val>
        </c:ser>
        <c:ser>
          <c:idx val="9"/>
          <c:order val="9"/>
          <c:tx>
            <c:v>Caiçara</c:v>
          </c:tx>
          <c:spPr>
            <a:ln>
              <a:solidFill>
                <a:schemeClr val="tx1"/>
              </a:solidFill>
            </a:ln>
          </c:spPr>
          <c:cat>
            <c:strRef>
              <c:f>Sertão!$B$1:$M$1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Sertão!$B$11:$M$11</c:f>
              <c:numCache>
                <c:formatCode>General</c:formatCode>
                <c:ptCount val="12"/>
                <c:pt idx="0">
                  <c:v>106</c:v>
                </c:pt>
                <c:pt idx="1">
                  <c:v>170</c:v>
                </c:pt>
                <c:pt idx="2">
                  <c:v>243</c:v>
                </c:pt>
                <c:pt idx="3">
                  <c:v>156</c:v>
                </c:pt>
                <c:pt idx="4">
                  <c:v>79</c:v>
                </c:pt>
                <c:pt idx="5">
                  <c:v>53</c:v>
                </c:pt>
                <c:pt idx="6">
                  <c:v>87</c:v>
                </c:pt>
                <c:pt idx="7">
                  <c:v>19</c:v>
                </c:pt>
                <c:pt idx="8">
                  <c:v>12</c:v>
                </c:pt>
                <c:pt idx="9">
                  <c:v>12</c:v>
                </c:pt>
                <c:pt idx="10">
                  <c:v>33</c:v>
                </c:pt>
                <c:pt idx="11">
                  <c:v>73</c:v>
                </c:pt>
              </c:numCache>
            </c:numRef>
          </c:val>
        </c:ser>
        <c:axId val="138151808"/>
        <c:axId val="138170368"/>
      </c:barChart>
      <c:catAx>
        <c:axId val="138151808"/>
        <c:scaling>
          <c:orientation val="minMax"/>
        </c:scaling>
        <c:axPos val="b"/>
        <c:title>
          <c:tx>
            <c:rich>
              <a:bodyPr/>
              <a:lstStyle/>
              <a:p>
                <a:pPr>
                  <a:defRPr sz="800"/>
                </a:pPr>
                <a:r>
                  <a:rPr lang="pt-BR" sz="800">
                    <a:latin typeface="Times New Roman" pitchFamily="18" charset="0"/>
                    <a:cs typeface="Times New Roman" pitchFamily="18" charset="0"/>
                  </a:rPr>
                  <a:t>Months</a:t>
                </a:r>
              </a:p>
            </c:rich>
          </c:tx>
          <c:layout>
            <c:manualLayout>
              <c:xMode val="edge"/>
              <c:yMode val="edge"/>
              <c:x val="0.51761259115477742"/>
              <c:y val="0.73206136498761942"/>
            </c:manualLayout>
          </c:layout>
        </c:title>
        <c:majorTickMark val="none"/>
        <c:tickLblPos val="nextTo"/>
        <c:txPr>
          <a:bodyPr rot="-5400000" vert="horz"/>
          <a:lstStyle/>
          <a:p>
            <a:pPr>
              <a:defRPr sz="800">
                <a:latin typeface="Times New Roman" pitchFamily="18" charset="0"/>
                <a:cs typeface="Times New Roman" pitchFamily="18" charset="0"/>
              </a:defRPr>
            </a:pPr>
            <a:endParaRPr lang="pt-BR"/>
          </a:p>
        </c:txPr>
        <c:crossAx val="138170368"/>
        <c:crosses val="autoZero"/>
        <c:auto val="1"/>
        <c:lblAlgn val="ctr"/>
        <c:lblOffset val="100"/>
      </c:catAx>
      <c:valAx>
        <c:axId val="138170368"/>
        <c:scaling>
          <c:orientation val="minMax"/>
          <c:max val="450"/>
        </c:scaling>
        <c:axPos val="l"/>
        <c:title>
          <c:tx>
            <c:rich>
              <a:bodyPr/>
              <a:lstStyle/>
              <a:p>
                <a:pPr>
                  <a:defRPr sz="800"/>
                </a:pPr>
                <a:r>
                  <a:rPr lang="pt-BR" sz="800">
                    <a:latin typeface="Times New Roman" pitchFamily="18" charset="0"/>
                    <a:cs typeface="Times New Roman" pitchFamily="18" charset="0"/>
                  </a:rPr>
                  <a:t>Rainfall (mm)</a:t>
                </a:r>
              </a:p>
            </c:rich>
          </c:tx>
        </c:title>
        <c:numFmt formatCode="General" sourceLinked="1"/>
        <c:tickLblPos val="nextTo"/>
        <c:txPr>
          <a:bodyPr/>
          <a:lstStyle/>
          <a:p>
            <a:pPr>
              <a:defRPr sz="800">
                <a:latin typeface="Times New Roman" pitchFamily="18" charset="0"/>
                <a:cs typeface="Times New Roman" pitchFamily="18" charset="0"/>
              </a:defRPr>
            </a:pPr>
            <a:endParaRPr lang="pt-BR"/>
          </a:p>
        </c:txPr>
        <c:crossAx val="138151808"/>
        <c:crosses val="autoZero"/>
        <c:crossBetween val="between"/>
      </c:valAx>
      <c:spPr>
        <a:ln>
          <a:noFill/>
        </a:ln>
      </c:spPr>
    </c:plotArea>
    <c:legend>
      <c:legendPos val="r"/>
      <c:layout>
        <c:manualLayout>
          <c:xMode val="edge"/>
          <c:yMode val="edge"/>
          <c:x val="0"/>
          <c:y val="0.82307794077094032"/>
          <c:w val="0.9900587778272063"/>
          <c:h val="0.17552653097658283"/>
        </c:manualLayout>
      </c:layout>
      <c:txPr>
        <a:bodyPr/>
        <a:lstStyle/>
        <a:p>
          <a:pPr>
            <a:defRPr sz="600">
              <a:latin typeface="Times New Roman" pitchFamily="18" charset="0"/>
              <a:cs typeface="Times New Roman" pitchFamily="18" charset="0"/>
            </a:defRPr>
          </a:pPr>
          <a:endParaRPr lang="pt-BR"/>
        </a:p>
      </c:txPr>
    </c:legend>
    <c:plotVisOnly val="1"/>
  </c:chart>
  <c:spPr>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pt-BR"/>
  <c:chart>
    <c:autoTitleDeleted val="1"/>
    <c:plotArea>
      <c:layout>
        <c:manualLayout>
          <c:layoutTarget val="inner"/>
          <c:xMode val="edge"/>
          <c:yMode val="edge"/>
          <c:x val="0.18790618979954224"/>
          <c:y val="4.6644640891957447E-2"/>
          <c:w val="0.79115065368506265"/>
          <c:h val="0.56072394624015565"/>
        </c:manualLayout>
      </c:layout>
      <c:barChart>
        <c:barDir val="col"/>
        <c:grouping val="clustered"/>
        <c:ser>
          <c:idx val="0"/>
          <c:order val="0"/>
          <c:tx>
            <c:v>Pau Ferro</c:v>
          </c:tx>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francisco'!$B$2:$M$2</c:f>
              <c:numCache>
                <c:formatCode>General</c:formatCode>
                <c:ptCount val="12"/>
                <c:pt idx="0">
                  <c:v>48</c:v>
                </c:pt>
                <c:pt idx="1">
                  <c:v>52</c:v>
                </c:pt>
                <c:pt idx="2">
                  <c:v>96</c:v>
                </c:pt>
                <c:pt idx="3">
                  <c:v>52</c:v>
                </c:pt>
                <c:pt idx="4">
                  <c:v>9</c:v>
                </c:pt>
                <c:pt idx="5">
                  <c:v>2</c:v>
                </c:pt>
                <c:pt idx="6">
                  <c:v>0</c:v>
                </c:pt>
                <c:pt idx="7">
                  <c:v>0</c:v>
                </c:pt>
                <c:pt idx="8">
                  <c:v>1</c:v>
                </c:pt>
                <c:pt idx="9">
                  <c:v>10</c:v>
                </c:pt>
                <c:pt idx="10">
                  <c:v>34</c:v>
                </c:pt>
                <c:pt idx="11">
                  <c:v>40</c:v>
                </c:pt>
              </c:numCache>
            </c:numRef>
          </c:val>
        </c:ser>
        <c:ser>
          <c:idx val="1"/>
          <c:order val="1"/>
          <c:tx>
            <c:v>Jutaí</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francisco'!$B$3:$M$3</c:f>
              <c:numCache>
                <c:formatCode>General</c:formatCode>
                <c:ptCount val="12"/>
                <c:pt idx="0">
                  <c:v>76</c:v>
                </c:pt>
                <c:pt idx="1">
                  <c:v>87</c:v>
                </c:pt>
                <c:pt idx="2">
                  <c:v>126</c:v>
                </c:pt>
                <c:pt idx="3">
                  <c:v>88</c:v>
                </c:pt>
                <c:pt idx="4">
                  <c:v>28</c:v>
                </c:pt>
                <c:pt idx="5">
                  <c:v>18</c:v>
                </c:pt>
                <c:pt idx="6">
                  <c:v>8</c:v>
                </c:pt>
                <c:pt idx="7">
                  <c:v>4</c:v>
                </c:pt>
                <c:pt idx="8">
                  <c:v>3</c:v>
                </c:pt>
                <c:pt idx="9">
                  <c:v>13</c:v>
                </c:pt>
                <c:pt idx="10">
                  <c:v>45</c:v>
                </c:pt>
                <c:pt idx="11">
                  <c:v>75</c:v>
                </c:pt>
              </c:numCache>
            </c:numRef>
          </c:val>
        </c:ser>
        <c:ser>
          <c:idx val="2"/>
          <c:order val="2"/>
          <c:tx>
            <c:v>Lagoa Grande</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francisco'!$B$4:$M$4</c:f>
              <c:numCache>
                <c:formatCode>General</c:formatCode>
                <c:ptCount val="12"/>
                <c:pt idx="0">
                  <c:v>88</c:v>
                </c:pt>
                <c:pt idx="1">
                  <c:v>82</c:v>
                </c:pt>
                <c:pt idx="2">
                  <c:v>157</c:v>
                </c:pt>
                <c:pt idx="3">
                  <c:v>80</c:v>
                </c:pt>
                <c:pt idx="4">
                  <c:v>31</c:v>
                </c:pt>
                <c:pt idx="5">
                  <c:v>10</c:v>
                </c:pt>
                <c:pt idx="6">
                  <c:v>7</c:v>
                </c:pt>
                <c:pt idx="7">
                  <c:v>1</c:v>
                </c:pt>
                <c:pt idx="8">
                  <c:v>4</c:v>
                </c:pt>
                <c:pt idx="9">
                  <c:v>21</c:v>
                </c:pt>
                <c:pt idx="10">
                  <c:v>40</c:v>
                </c:pt>
                <c:pt idx="11">
                  <c:v>80</c:v>
                </c:pt>
              </c:numCache>
            </c:numRef>
          </c:val>
        </c:ser>
        <c:ser>
          <c:idx val="3"/>
          <c:order val="3"/>
          <c:tx>
            <c:v>Petrolina</c:v>
          </c:tx>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francisco'!$B$5:$M$5</c:f>
              <c:numCache>
                <c:formatCode>General</c:formatCode>
                <c:ptCount val="12"/>
                <c:pt idx="0">
                  <c:v>62</c:v>
                </c:pt>
                <c:pt idx="1">
                  <c:v>80</c:v>
                </c:pt>
                <c:pt idx="2">
                  <c:v>101</c:v>
                </c:pt>
                <c:pt idx="3">
                  <c:v>49</c:v>
                </c:pt>
                <c:pt idx="4">
                  <c:v>8</c:v>
                </c:pt>
                <c:pt idx="5">
                  <c:v>4</c:v>
                </c:pt>
                <c:pt idx="6">
                  <c:v>3</c:v>
                </c:pt>
                <c:pt idx="7">
                  <c:v>1</c:v>
                </c:pt>
                <c:pt idx="8">
                  <c:v>3</c:v>
                </c:pt>
                <c:pt idx="9">
                  <c:v>11</c:v>
                </c:pt>
                <c:pt idx="10">
                  <c:v>45</c:v>
                </c:pt>
                <c:pt idx="11">
                  <c:v>63</c:v>
                </c:pt>
              </c:numCache>
            </c:numRef>
          </c:val>
        </c:ser>
        <c:ser>
          <c:idx val="4"/>
          <c:order val="4"/>
          <c:tx>
            <c:v>Orocó</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francisco'!$B$6:$M$6</c:f>
              <c:numCache>
                <c:formatCode>General</c:formatCode>
                <c:ptCount val="12"/>
                <c:pt idx="0">
                  <c:v>78</c:v>
                </c:pt>
                <c:pt idx="1">
                  <c:v>64</c:v>
                </c:pt>
                <c:pt idx="2">
                  <c:v>119</c:v>
                </c:pt>
                <c:pt idx="3">
                  <c:v>74</c:v>
                </c:pt>
                <c:pt idx="4">
                  <c:v>21</c:v>
                </c:pt>
                <c:pt idx="5">
                  <c:v>6</c:v>
                </c:pt>
                <c:pt idx="6">
                  <c:v>5</c:v>
                </c:pt>
                <c:pt idx="7">
                  <c:v>2</c:v>
                </c:pt>
                <c:pt idx="8">
                  <c:v>2</c:v>
                </c:pt>
                <c:pt idx="9">
                  <c:v>6</c:v>
                </c:pt>
                <c:pt idx="10">
                  <c:v>19</c:v>
                </c:pt>
                <c:pt idx="11">
                  <c:v>39</c:v>
                </c:pt>
              </c:numCache>
            </c:numRef>
          </c:val>
        </c:ser>
        <c:ser>
          <c:idx val="5"/>
          <c:order val="5"/>
          <c:tx>
            <c:v>Cabrobó</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francisco'!$B$7:$M$7</c:f>
              <c:numCache>
                <c:formatCode>General</c:formatCode>
                <c:ptCount val="12"/>
                <c:pt idx="0">
                  <c:v>63</c:v>
                </c:pt>
                <c:pt idx="1">
                  <c:v>84</c:v>
                </c:pt>
                <c:pt idx="2">
                  <c:v>112</c:v>
                </c:pt>
                <c:pt idx="3">
                  <c:v>66</c:v>
                </c:pt>
                <c:pt idx="4">
                  <c:v>21</c:v>
                </c:pt>
                <c:pt idx="5">
                  <c:v>14</c:v>
                </c:pt>
                <c:pt idx="6">
                  <c:v>9</c:v>
                </c:pt>
                <c:pt idx="7">
                  <c:v>3</c:v>
                </c:pt>
                <c:pt idx="8">
                  <c:v>3</c:v>
                </c:pt>
                <c:pt idx="9">
                  <c:v>10</c:v>
                </c:pt>
                <c:pt idx="10">
                  <c:v>37</c:v>
                </c:pt>
                <c:pt idx="11">
                  <c:v>59</c:v>
                </c:pt>
              </c:numCache>
            </c:numRef>
          </c:val>
        </c:ser>
        <c:ser>
          <c:idx val="6"/>
          <c:order val="6"/>
          <c:tx>
            <c:v>Ico</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francisco'!$B$8:$M$8</c:f>
              <c:numCache>
                <c:formatCode>General</c:formatCode>
                <c:ptCount val="12"/>
                <c:pt idx="0">
                  <c:v>51</c:v>
                </c:pt>
                <c:pt idx="1">
                  <c:v>54</c:v>
                </c:pt>
                <c:pt idx="2">
                  <c:v>107</c:v>
                </c:pt>
                <c:pt idx="3">
                  <c:v>43</c:v>
                </c:pt>
                <c:pt idx="4">
                  <c:v>24</c:v>
                </c:pt>
                <c:pt idx="5">
                  <c:v>11</c:v>
                </c:pt>
                <c:pt idx="6">
                  <c:v>13</c:v>
                </c:pt>
                <c:pt idx="7">
                  <c:v>4</c:v>
                </c:pt>
                <c:pt idx="8">
                  <c:v>5</c:v>
                </c:pt>
                <c:pt idx="9">
                  <c:v>7</c:v>
                </c:pt>
                <c:pt idx="10">
                  <c:v>28</c:v>
                </c:pt>
                <c:pt idx="11">
                  <c:v>47</c:v>
                </c:pt>
              </c:numCache>
            </c:numRef>
          </c:val>
        </c:ser>
        <c:ser>
          <c:idx val="8"/>
          <c:order val="7"/>
          <c:tx>
            <c:v>Floresta</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francisco'!$B$10:$M$10</c:f>
              <c:numCache>
                <c:formatCode>General</c:formatCode>
                <c:ptCount val="12"/>
                <c:pt idx="0">
                  <c:v>69</c:v>
                </c:pt>
                <c:pt idx="1">
                  <c:v>88</c:v>
                </c:pt>
                <c:pt idx="2">
                  <c:v>117</c:v>
                </c:pt>
                <c:pt idx="3">
                  <c:v>70</c:v>
                </c:pt>
                <c:pt idx="4">
                  <c:v>24</c:v>
                </c:pt>
                <c:pt idx="5">
                  <c:v>13</c:v>
                </c:pt>
                <c:pt idx="6">
                  <c:v>12</c:v>
                </c:pt>
                <c:pt idx="7">
                  <c:v>5</c:v>
                </c:pt>
                <c:pt idx="8">
                  <c:v>8</c:v>
                </c:pt>
                <c:pt idx="9">
                  <c:v>11</c:v>
                </c:pt>
                <c:pt idx="10">
                  <c:v>29</c:v>
                </c:pt>
                <c:pt idx="11">
                  <c:v>54</c:v>
                </c:pt>
              </c:numCache>
            </c:numRef>
          </c:val>
        </c:ser>
        <c:ser>
          <c:idx val="9"/>
          <c:order val="8"/>
          <c:tx>
            <c:v>Tacaratu</c:v>
          </c:tx>
          <c:spPr>
            <a:ln>
              <a:solidFill>
                <a:prstClr val="black"/>
              </a:solidFill>
            </a:ln>
          </c:spPr>
          <c:cat>
            <c:strRef>
              <c:f>'são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'são francisco'!$B$11:$M$11</c:f>
              <c:numCache>
                <c:formatCode>General</c:formatCode>
                <c:ptCount val="12"/>
                <c:pt idx="0">
                  <c:v>45</c:v>
                </c:pt>
                <c:pt idx="1">
                  <c:v>69</c:v>
                </c:pt>
                <c:pt idx="2">
                  <c:v>99</c:v>
                </c:pt>
                <c:pt idx="3">
                  <c:v>78</c:v>
                </c:pt>
                <c:pt idx="4">
                  <c:v>94</c:v>
                </c:pt>
                <c:pt idx="5">
                  <c:v>89</c:v>
                </c:pt>
                <c:pt idx="6">
                  <c:v>96</c:v>
                </c:pt>
                <c:pt idx="7">
                  <c:v>41</c:v>
                </c:pt>
                <c:pt idx="8">
                  <c:v>24</c:v>
                </c:pt>
                <c:pt idx="9">
                  <c:v>17</c:v>
                </c:pt>
                <c:pt idx="10">
                  <c:v>32</c:v>
                </c:pt>
                <c:pt idx="11">
                  <c:v>47</c:v>
                </c:pt>
              </c:numCache>
            </c:numRef>
          </c:val>
        </c:ser>
        <c:axId val="138598272"/>
        <c:axId val="138608640"/>
      </c:barChart>
      <c:catAx>
        <c:axId val="138598272"/>
        <c:scaling>
          <c:orientation val="minMax"/>
        </c:scaling>
        <c:axPos val="b"/>
        <c:title>
          <c:tx>
            <c:rich>
              <a:bodyPr/>
              <a:lstStyle/>
              <a:p>
                <a:pPr>
                  <a:defRPr sz="800"/>
                </a:pPr>
                <a:r>
                  <a:rPr lang="pt-BR" sz="800">
                    <a:latin typeface="Times New Roman" pitchFamily="18" charset="0"/>
                    <a:cs typeface="Times New Roman" pitchFamily="18" charset="0"/>
                  </a:rPr>
                  <a:t>Months</a:t>
                </a:r>
              </a:p>
            </c:rich>
          </c:tx>
        </c:title>
        <c:majorTickMark val="none"/>
        <c:tickLblPos val="nextTo"/>
        <c:txPr>
          <a:bodyPr rot="-5400000" vert="horz"/>
          <a:lstStyle/>
          <a:p>
            <a:pPr>
              <a:defRPr sz="800">
                <a:latin typeface="Times New Roman" pitchFamily="18" charset="0"/>
                <a:cs typeface="Times New Roman" pitchFamily="18" charset="0"/>
              </a:defRPr>
            </a:pPr>
            <a:endParaRPr lang="pt-BR"/>
          </a:p>
        </c:txPr>
        <c:crossAx val="138608640"/>
        <c:crosses val="autoZero"/>
        <c:auto val="1"/>
        <c:lblAlgn val="ctr"/>
        <c:lblOffset val="100"/>
      </c:catAx>
      <c:valAx>
        <c:axId val="138608640"/>
        <c:scaling>
          <c:orientation val="minMax"/>
          <c:max val="450"/>
        </c:scaling>
        <c:axPos val="l"/>
        <c:numFmt formatCode="General" sourceLinked="1"/>
        <c:tickLblPos val="nextTo"/>
        <c:txPr>
          <a:bodyPr/>
          <a:lstStyle/>
          <a:p>
            <a:pPr>
              <a:defRPr sz="800">
                <a:latin typeface="Times New Roman" pitchFamily="18" charset="0"/>
                <a:cs typeface="Times New Roman" pitchFamily="18" charset="0"/>
              </a:defRPr>
            </a:pPr>
            <a:endParaRPr lang="pt-BR"/>
          </a:p>
        </c:txPr>
        <c:crossAx val="138598272"/>
        <c:crosses val="autoZero"/>
        <c:crossBetween val="between"/>
      </c:valAx>
      <c:spPr>
        <a:ln>
          <a:noFill/>
        </a:ln>
      </c:spPr>
    </c:plotArea>
    <c:legend>
      <c:legendPos val="r"/>
      <c:layout>
        <c:manualLayout>
          <c:xMode val="edge"/>
          <c:yMode val="edge"/>
          <c:x val="0.14800557744365617"/>
          <c:y val="0.83395604763445663"/>
          <c:w val="0.84233270614328282"/>
          <c:h val="0.16446232711309774"/>
        </c:manualLayout>
      </c:layout>
      <c:txPr>
        <a:bodyPr/>
        <a:lstStyle/>
        <a:p>
          <a:pPr>
            <a:defRPr sz="600">
              <a:latin typeface="Times New Roman" pitchFamily="18" charset="0"/>
              <a:cs typeface="Times New Roman" pitchFamily="18" charset="0"/>
            </a:defRPr>
          </a:pPr>
          <a:endParaRPr lang="pt-BR"/>
        </a:p>
      </c:txPr>
    </c:legend>
    <c:plotVisOnly val="1"/>
  </c:chart>
  <c:spPr>
    <a:ln>
      <a:no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lang val="pt-BR"/>
  <c:chart>
    <c:plotArea>
      <c:layout>
        <c:manualLayout>
          <c:layoutTarget val="inner"/>
          <c:xMode val="edge"/>
          <c:yMode val="edge"/>
          <c:x val="0.17227625570776411"/>
          <c:y val="4.2220366455121394E-2"/>
          <c:w val="0.75563774733638378"/>
          <c:h val="0.59190231761758483"/>
        </c:manualLayout>
      </c:layout>
      <c:lineChart>
        <c:grouping val="standard"/>
        <c:ser>
          <c:idx val="0"/>
          <c:order val="0"/>
          <c:tx>
            <c:v>Carpina</c:v>
          </c:tx>
          <c:spPr>
            <a:ln w="3175">
              <a:solidFill>
                <a:sysClr val="windowText" lastClr="000000"/>
              </a:solidFill>
            </a:ln>
          </c:spPr>
          <c:marker>
            <c:spPr>
              <a:noFill/>
              <a:ln w="6350">
                <a:solidFill>
                  <a:sysClr val="windowText" lastClr="000000"/>
                </a:solidFill>
              </a:ln>
            </c:spPr>
          </c:marke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mata'!$B$2:$M$2</c:f>
              <c:numCache>
                <c:formatCode>General</c:formatCode>
                <c:ptCount val="12"/>
                <c:pt idx="0">
                  <c:v>132.9</c:v>
                </c:pt>
                <c:pt idx="1">
                  <c:v>118.5</c:v>
                </c:pt>
                <c:pt idx="2">
                  <c:v>125.7</c:v>
                </c:pt>
                <c:pt idx="3">
                  <c:v>114</c:v>
                </c:pt>
                <c:pt idx="4">
                  <c:v>103.5</c:v>
                </c:pt>
                <c:pt idx="5">
                  <c:v>86.1</c:v>
                </c:pt>
                <c:pt idx="6">
                  <c:v>81</c:v>
                </c:pt>
                <c:pt idx="7">
                  <c:v>84.3</c:v>
                </c:pt>
                <c:pt idx="8">
                  <c:v>92.7</c:v>
                </c:pt>
                <c:pt idx="9">
                  <c:v>111.1</c:v>
                </c:pt>
                <c:pt idx="10">
                  <c:v>120.4</c:v>
                </c:pt>
                <c:pt idx="11">
                  <c:v>131.80000000000001</c:v>
                </c:pt>
              </c:numCache>
            </c:numRef>
          </c:val>
        </c:ser>
        <c:ser>
          <c:idx val="1"/>
          <c:order val="1"/>
          <c:tx>
            <c:v>V. de Sto. Antão</c:v>
          </c:tx>
          <c:spPr>
            <a:ln w="3175">
              <a:solidFill>
                <a:sysClr val="windowText" lastClr="000000"/>
              </a:solidFill>
            </a:ln>
          </c:spPr>
          <c:marker>
            <c:spPr>
              <a:noFill/>
              <a:ln w="6350">
                <a:solidFill>
                  <a:sysClr val="windowText" lastClr="000000"/>
                </a:solidFill>
              </a:ln>
            </c:spPr>
          </c:marke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mata'!$B$3:$M$3</c:f>
              <c:numCache>
                <c:formatCode>General</c:formatCode>
                <c:ptCount val="12"/>
                <c:pt idx="0">
                  <c:v>137.4</c:v>
                </c:pt>
                <c:pt idx="1">
                  <c:v>122.5</c:v>
                </c:pt>
                <c:pt idx="2">
                  <c:v>129.9</c:v>
                </c:pt>
                <c:pt idx="3">
                  <c:v>117.3</c:v>
                </c:pt>
                <c:pt idx="4">
                  <c:v>106.3</c:v>
                </c:pt>
                <c:pt idx="5">
                  <c:v>88.2</c:v>
                </c:pt>
                <c:pt idx="6">
                  <c:v>83.1</c:v>
                </c:pt>
                <c:pt idx="7">
                  <c:v>86.6</c:v>
                </c:pt>
                <c:pt idx="8">
                  <c:v>95.3</c:v>
                </c:pt>
                <c:pt idx="9">
                  <c:v>116</c:v>
                </c:pt>
                <c:pt idx="10">
                  <c:v>124.4</c:v>
                </c:pt>
                <c:pt idx="11">
                  <c:v>137.9</c:v>
                </c:pt>
              </c:numCache>
            </c:numRef>
          </c:val>
        </c:ser>
        <c:ser>
          <c:idx val="2"/>
          <c:order val="2"/>
          <c:tx>
            <c:v>Cortês</c:v>
          </c:tx>
          <c:spPr>
            <a:ln w="3175">
              <a:solidFill>
                <a:sysClr val="windowText" lastClr="000000"/>
              </a:solidFill>
            </a:ln>
          </c:spPr>
          <c:marker>
            <c:spPr>
              <a:noFill/>
              <a:ln w="6350">
                <a:solidFill>
                  <a:sysClr val="windowText" lastClr="000000"/>
                </a:solidFill>
              </a:ln>
            </c:spPr>
          </c:marke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mata'!$B$4:$M$4</c:f>
              <c:numCache>
                <c:formatCode>General</c:formatCode>
                <c:ptCount val="12"/>
                <c:pt idx="0">
                  <c:v>122.5</c:v>
                </c:pt>
                <c:pt idx="1">
                  <c:v>109.1</c:v>
                </c:pt>
                <c:pt idx="2">
                  <c:v>117.3</c:v>
                </c:pt>
                <c:pt idx="3">
                  <c:v>106.2</c:v>
                </c:pt>
                <c:pt idx="4">
                  <c:v>94.7</c:v>
                </c:pt>
                <c:pt idx="5">
                  <c:v>78.2</c:v>
                </c:pt>
                <c:pt idx="6">
                  <c:v>71.900000000000006</c:v>
                </c:pt>
                <c:pt idx="7">
                  <c:v>74.099999999999994</c:v>
                </c:pt>
                <c:pt idx="8">
                  <c:v>82.2</c:v>
                </c:pt>
                <c:pt idx="9">
                  <c:v>101.9</c:v>
                </c:pt>
                <c:pt idx="10">
                  <c:v>110.3</c:v>
                </c:pt>
                <c:pt idx="11">
                  <c:v>121.8</c:v>
                </c:pt>
              </c:numCache>
            </c:numRef>
          </c:val>
        </c:ser>
        <c:ser>
          <c:idx val="3"/>
          <c:order val="3"/>
          <c:tx>
            <c:v>Goiana</c:v>
          </c:tx>
          <c:spPr>
            <a:ln w="3175">
              <a:solidFill>
                <a:sysClr val="windowText" lastClr="000000"/>
              </a:solidFill>
            </a:ln>
          </c:spPr>
          <c:marker>
            <c:spPr>
              <a:noFill/>
              <a:ln w="6350">
                <a:solidFill>
                  <a:sysClr val="windowText" lastClr="000000"/>
                </a:solidFill>
              </a:ln>
            </c:spPr>
          </c:marke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mata'!$B$5:$M$5</c:f>
              <c:numCache>
                <c:formatCode>General</c:formatCode>
                <c:ptCount val="12"/>
                <c:pt idx="0">
                  <c:v>140.1</c:v>
                </c:pt>
                <c:pt idx="1">
                  <c:v>125.2</c:v>
                </c:pt>
                <c:pt idx="2">
                  <c:v>132.80000000000001</c:v>
                </c:pt>
                <c:pt idx="3">
                  <c:v>120.2</c:v>
                </c:pt>
                <c:pt idx="4">
                  <c:v>110.2</c:v>
                </c:pt>
                <c:pt idx="5">
                  <c:v>92.5</c:v>
                </c:pt>
                <c:pt idx="6">
                  <c:v>87.1</c:v>
                </c:pt>
                <c:pt idx="7">
                  <c:v>90.8</c:v>
                </c:pt>
                <c:pt idx="8">
                  <c:v>99.7</c:v>
                </c:pt>
                <c:pt idx="9">
                  <c:v>119.5</c:v>
                </c:pt>
                <c:pt idx="10">
                  <c:v>128.69999999999999</c:v>
                </c:pt>
                <c:pt idx="11">
                  <c:v>140.6</c:v>
                </c:pt>
              </c:numCache>
            </c:numRef>
          </c:val>
        </c:ser>
        <c:ser>
          <c:idx val="4"/>
          <c:order val="4"/>
          <c:tx>
            <c:v>São L. da Mata</c:v>
          </c:tx>
          <c:spPr>
            <a:ln w="3175">
              <a:solidFill>
                <a:sysClr val="windowText" lastClr="000000"/>
              </a:solidFill>
            </a:ln>
          </c:spPr>
          <c:marker>
            <c:spPr>
              <a:noFill/>
              <a:ln w="6350">
                <a:solidFill>
                  <a:sysClr val="windowText" lastClr="000000"/>
                </a:solidFill>
              </a:ln>
            </c:spPr>
          </c:marke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mata'!$B$6:$M$6</c:f>
              <c:numCache>
                <c:formatCode>General</c:formatCode>
                <c:ptCount val="12"/>
                <c:pt idx="0">
                  <c:v>140.69999999999999</c:v>
                </c:pt>
                <c:pt idx="1">
                  <c:v>125.3</c:v>
                </c:pt>
                <c:pt idx="2">
                  <c:v>132.9</c:v>
                </c:pt>
                <c:pt idx="3">
                  <c:v>120.3</c:v>
                </c:pt>
                <c:pt idx="4">
                  <c:v>109</c:v>
                </c:pt>
                <c:pt idx="5">
                  <c:v>91.3</c:v>
                </c:pt>
                <c:pt idx="6">
                  <c:v>86</c:v>
                </c:pt>
                <c:pt idx="7">
                  <c:v>88.4</c:v>
                </c:pt>
                <c:pt idx="8">
                  <c:v>97.4</c:v>
                </c:pt>
                <c:pt idx="9">
                  <c:v>118.6</c:v>
                </c:pt>
                <c:pt idx="10">
                  <c:v>127.2</c:v>
                </c:pt>
                <c:pt idx="11">
                  <c:v>139.4</c:v>
                </c:pt>
              </c:numCache>
            </c:numRef>
          </c:val>
        </c:ser>
        <c:ser>
          <c:idx val="5"/>
          <c:order val="5"/>
          <c:tx>
            <c:v>Escada</c:v>
          </c:tx>
          <c:spPr>
            <a:ln w="3175">
              <a:solidFill>
                <a:sysClr val="windowText" lastClr="000000"/>
              </a:solidFill>
            </a:ln>
          </c:spPr>
          <c:marker>
            <c:spPr>
              <a:noFill/>
              <a:ln w="6350">
                <a:solidFill>
                  <a:sysClr val="windowText" lastClr="000000"/>
                </a:solidFill>
              </a:ln>
            </c:spPr>
          </c:marke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mata'!$B$7:$M$7</c:f>
              <c:numCache>
                <c:formatCode>General</c:formatCode>
                <c:ptCount val="12"/>
                <c:pt idx="0">
                  <c:v>140.69999999999999</c:v>
                </c:pt>
                <c:pt idx="1">
                  <c:v>125.4</c:v>
                </c:pt>
                <c:pt idx="2">
                  <c:v>134.69999999999999</c:v>
                </c:pt>
                <c:pt idx="3">
                  <c:v>120</c:v>
                </c:pt>
                <c:pt idx="4">
                  <c:v>107.4</c:v>
                </c:pt>
                <c:pt idx="5">
                  <c:v>90.2</c:v>
                </c:pt>
                <c:pt idx="6">
                  <c:v>83.8</c:v>
                </c:pt>
                <c:pt idx="7">
                  <c:v>87.3</c:v>
                </c:pt>
                <c:pt idx="8">
                  <c:v>96.2</c:v>
                </c:pt>
                <c:pt idx="9">
                  <c:v>117.2</c:v>
                </c:pt>
                <c:pt idx="10">
                  <c:v>127.7</c:v>
                </c:pt>
                <c:pt idx="11">
                  <c:v>139.9</c:v>
                </c:pt>
              </c:numCache>
            </c:numRef>
          </c:val>
        </c:ser>
        <c:ser>
          <c:idx val="6"/>
          <c:order val="6"/>
          <c:tx>
            <c:v>Palmares</c:v>
          </c:tx>
          <c:spPr>
            <a:ln w="3175">
              <a:solidFill>
                <a:sysClr val="windowText" lastClr="000000"/>
              </a:solidFill>
            </a:ln>
          </c:spPr>
          <c:marker>
            <c:spPr>
              <a:noFill/>
              <a:ln w="6350">
                <a:solidFill>
                  <a:sysClr val="windowText" lastClr="000000"/>
                </a:solidFill>
              </a:ln>
            </c:spPr>
          </c:marke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mata'!$B$8:$M$8</c:f>
              <c:numCache>
                <c:formatCode>General</c:formatCode>
                <c:ptCount val="12"/>
                <c:pt idx="0">
                  <c:v>148.1</c:v>
                </c:pt>
                <c:pt idx="1">
                  <c:v>128.69999999999999</c:v>
                </c:pt>
                <c:pt idx="2">
                  <c:v>137.80000000000001</c:v>
                </c:pt>
                <c:pt idx="3">
                  <c:v>124.2</c:v>
                </c:pt>
                <c:pt idx="4">
                  <c:v>109.5</c:v>
                </c:pt>
                <c:pt idx="5">
                  <c:v>90.3</c:v>
                </c:pt>
                <c:pt idx="6">
                  <c:v>84.9</c:v>
                </c:pt>
                <c:pt idx="7">
                  <c:v>88.8</c:v>
                </c:pt>
                <c:pt idx="8">
                  <c:v>98</c:v>
                </c:pt>
                <c:pt idx="9">
                  <c:v>121.2</c:v>
                </c:pt>
                <c:pt idx="10">
                  <c:v>132.19999999999999</c:v>
                </c:pt>
                <c:pt idx="11">
                  <c:v>145.30000000000001</c:v>
                </c:pt>
              </c:numCache>
            </c:numRef>
          </c:val>
        </c:ser>
        <c:ser>
          <c:idx val="7"/>
          <c:order val="7"/>
          <c:tx>
            <c:v>Buenos Aires</c:v>
          </c:tx>
          <c:spPr>
            <a:ln w="3175">
              <a:solidFill>
                <a:sysClr val="windowText" lastClr="000000"/>
              </a:solidFill>
            </a:ln>
          </c:spPr>
          <c:marker>
            <c:spPr>
              <a:noFill/>
              <a:ln w="6350">
                <a:solidFill>
                  <a:sysClr val="windowText" lastClr="000000"/>
                </a:solidFill>
              </a:ln>
            </c:spPr>
          </c:marke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mata'!$B$9:$M$9</c:f>
              <c:numCache>
                <c:formatCode>General</c:formatCode>
                <c:ptCount val="12"/>
                <c:pt idx="0">
                  <c:v>138.6</c:v>
                </c:pt>
                <c:pt idx="1">
                  <c:v>122.4</c:v>
                </c:pt>
                <c:pt idx="2">
                  <c:v>129.80000000000001</c:v>
                </c:pt>
                <c:pt idx="3">
                  <c:v>117.5</c:v>
                </c:pt>
                <c:pt idx="4">
                  <c:v>106.5</c:v>
                </c:pt>
                <c:pt idx="5">
                  <c:v>89.4</c:v>
                </c:pt>
                <c:pt idx="6">
                  <c:v>85.2</c:v>
                </c:pt>
                <c:pt idx="7">
                  <c:v>88.8</c:v>
                </c:pt>
                <c:pt idx="8">
                  <c:v>97.7</c:v>
                </c:pt>
                <c:pt idx="9">
                  <c:v>117.3</c:v>
                </c:pt>
                <c:pt idx="10">
                  <c:v>125.8</c:v>
                </c:pt>
                <c:pt idx="11">
                  <c:v>137.80000000000001</c:v>
                </c:pt>
              </c:numCache>
            </c:numRef>
          </c:val>
        </c:ser>
        <c:ser>
          <c:idx val="8"/>
          <c:order val="8"/>
          <c:tx>
            <c:v>Primavera</c:v>
          </c:tx>
          <c:spPr>
            <a:ln w="3175">
              <a:solidFill>
                <a:sysClr val="windowText" lastClr="000000"/>
              </a:solidFill>
            </a:ln>
          </c:spPr>
          <c:marker>
            <c:spPr>
              <a:noFill/>
              <a:ln w="6350">
                <a:solidFill>
                  <a:sysClr val="windowText" lastClr="000000"/>
                </a:solidFill>
              </a:ln>
            </c:spPr>
          </c:marke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mata'!$B$10:$M$10</c:f>
              <c:numCache>
                <c:formatCode>General</c:formatCode>
                <c:ptCount val="12"/>
                <c:pt idx="0">
                  <c:v>136</c:v>
                </c:pt>
                <c:pt idx="1">
                  <c:v>121.1</c:v>
                </c:pt>
                <c:pt idx="2">
                  <c:v>130.1</c:v>
                </c:pt>
                <c:pt idx="3">
                  <c:v>117.5</c:v>
                </c:pt>
                <c:pt idx="4">
                  <c:v>104</c:v>
                </c:pt>
                <c:pt idx="5">
                  <c:v>87.5</c:v>
                </c:pt>
                <c:pt idx="6">
                  <c:v>81.400000000000006</c:v>
                </c:pt>
                <c:pt idx="7">
                  <c:v>84.8</c:v>
                </c:pt>
                <c:pt idx="8">
                  <c:v>93.3</c:v>
                </c:pt>
                <c:pt idx="9">
                  <c:v>113.5</c:v>
                </c:pt>
                <c:pt idx="10">
                  <c:v>123.5</c:v>
                </c:pt>
                <c:pt idx="11">
                  <c:v>136.4</c:v>
                </c:pt>
              </c:numCache>
            </c:numRef>
          </c:val>
        </c:ser>
        <c:ser>
          <c:idx val="9"/>
          <c:order val="9"/>
          <c:tx>
            <c:v>Rio Formoso</c:v>
          </c:tx>
          <c:spPr>
            <a:ln w="3175">
              <a:solidFill>
                <a:sysClr val="windowText" lastClr="000000"/>
              </a:solidFill>
            </a:ln>
          </c:spPr>
          <c:marker>
            <c:spPr>
              <a:noFill/>
              <a:ln w="6350">
                <a:solidFill>
                  <a:sysClr val="windowText" lastClr="000000"/>
                </a:solidFill>
              </a:ln>
            </c:spPr>
          </c:marke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mata'!$B$11:$M$11</c:f>
              <c:numCache>
                <c:formatCode>General</c:formatCode>
                <c:ptCount val="12"/>
                <c:pt idx="0">
                  <c:v>144.9</c:v>
                </c:pt>
                <c:pt idx="1">
                  <c:v>128.69999999999999</c:v>
                </c:pt>
                <c:pt idx="2">
                  <c:v>137.80000000000001</c:v>
                </c:pt>
                <c:pt idx="3">
                  <c:v>124.4</c:v>
                </c:pt>
                <c:pt idx="4">
                  <c:v>109.7</c:v>
                </c:pt>
                <c:pt idx="5">
                  <c:v>90.5</c:v>
                </c:pt>
                <c:pt idx="6">
                  <c:v>84</c:v>
                </c:pt>
                <c:pt idx="7">
                  <c:v>87.9</c:v>
                </c:pt>
                <c:pt idx="8">
                  <c:v>96.9</c:v>
                </c:pt>
                <c:pt idx="9">
                  <c:v>118.3</c:v>
                </c:pt>
                <c:pt idx="10">
                  <c:v>130.69999999999999</c:v>
                </c:pt>
                <c:pt idx="11">
                  <c:v>143.19999999999999</c:v>
                </c:pt>
              </c:numCache>
            </c:numRef>
          </c:val>
        </c:ser>
        <c:ser>
          <c:idx val="10"/>
          <c:order val="10"/>
          <c:tx>
            <c:v>Gameleira</c:v>
          </c:tx>
          <c:spPr>
            <a:ln w="3175">
              <a:solidFill>
                <a:sysClr val="windowText" lastClr="000000"/>
              </a:solidFill>
            </a:ln>
          </c:spPr>
          <c:marker>
            <c:spPr>
              <a:noFill/>
              <a:ln w="6350">
                <a:solidFill>
                  <a:sysClr val="windowText" lastClr="000000"/>
                </a:solidFill>
              </a:ln>
            </c:spPr>
          </c:marke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mata'!$B$12:$M$12</c:f>
              <c:numCache>
                <c:formatCode>General</c:formatCode>
                <c:ptCount val="12"/>
                <c:pt idx="0">
                  <c:v>142.80000000000001</c:v>
                </c:pt>
                <c:pt idx="1">
                  <c:v>126.9</c:v>
                </c:pt>
                <c:pt idx="2">
                  <c:v>136.30000000000001</c:v>
                </c:pt>
                <c:pt idx="3">
                  <c:v>121.4</c:v>
                </c:pt>
                <c:pt idx="4">
                  <c:v>108.6</c:v>
                </c:pt>
                <c:pt idx="5">
                  <c:v>89.9</c:v>
                </c:pt>
                <c:pt idx="6">
                  <c:v>83.2</c:v>
                </c:pt>
                <c:pt idx="7">
                  <c:v>87.1</c:v>
                </c:pt>
                <c:pt idx="8">
                  <c:v>96</c:v>
                </c:pt>
                <c:pt idx="9">
                  <c:v>118.6</c:v>
                </c:pt>
                <c:pt idx="10">
                  <c:v>129.19999999999999</c:v>
                </c:pt>
                <c:pt idx="11">
                  <c:v>141.5</c:v>
                </c:pt>
              </c:numCache>
            </c:numRef>
          </c:val>
        </c:ser>
        <c:ser>
          <c:idx val="11"/>
          <c:order val="11"/>
          <c:tx>
            <c:v>Barreiros</c:v>
          </c:tx>
          <c:spPr>
            <a:ln w="3175">
              <a:solidFill>
                <a:sysClr val="windowText" lastClr="000000"/>
              </a:solidFill>
            </a:ln>
          </c:spPr>
          <c:marker>
            <c:spPr>
              <a:noFill/>
              <a:ln w="6350">
                <a:solidFill>
                  <a:sysClr val="windowText" lastClr="000000"/>
                </a:solidFill>
              </a:ln>
            </c:spPr>
          </c:marke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mata'!$B$13:$M$13</c:f>
              <c:numCache>
                <c:formatCode>General</c:formatCode>
                <c:ptCount val="12"/>
                <c:pt idx="0">
                  <c:v>148.1</c:v>
                </c:pt>
                <c:pt idx="1">
                  <c:v>132</c:v>
                </c:pt>
                <c:pt idx="2">
                  <c:v>143.1</c:v>
                </c:pt>
                <c:pt idx="3">
                  <c:v>125.7</c:v>
                </c:pt>
                <c:pt idx="4">
                  <c:v>110.8</c:v>
                </c:pt>
                <c:pt idx="5">
                  <c:v>91.3</c:v>
                </c:pt>
                <c:pt idx="6">
                  <c:v>84.7</c:v>
                </c:pt>
                <c:pt idx="7">
                  <c:v>88.3</c:v>
                </c:pt>
                <c:pt idx="8">
                  <c:v>97.8</c:v>
                </c:pt>
                <c:pt idx="9">
                  <c:v>119.5</c:v>
                </c:pt>
                <c:pt idx="10">
                  <c:v>132.1</c:v>
                </c:pt>
                <c:pt idx="11">
                  <c:v>145.4</c:v>
                </c:pt>
              </c:numCache>
            </c:numRef>
          </c:val>
        </c:ser>
        <c:marker val="1"/>
        <c:axId val="138681728"/>
        <c:axId val="138696576"/>
      </c:lineChart>
      <c:catAx>
        <c:axId val="138681728"/>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layout>
            <c:manualLayout>
              <c:xMode val="edge"/>
              <c:yMode val="edge"/>
              <c:x val="0.45517975185831971"/>
              <c:y val="0.75746633637910388"/>
            </c:manualLayout>
          </c:layout>
          <c:spPr>
            <a:ln w="3175"/>
          </c:spPr>
        </c:title>
        <c:numFmt formatCode="General" sourceLinked="1"/>
        <c:majorTickMark val="none"/>
        <c:minorTickMark val="out"/>
        <c:tickLblPos val="nextTo"/>
        <c:spPr>
          <a:ln>
            <a:solidFill>
              <a:schemeClr val="tx1"/>
            </a:solidFill>
          </a:ln>
        </c:spPr>
        <c:txPr>
          <a:bodyPr rot="-5400000" vert="horz"/>
          <a:lstStyle/>
          <a:p>
            <a:pPr>
              <a:defRPr sz="800">
                <a:latin typeface="Times New Roman" pitchFamily="18" charset="0"/>
                <a:cs typeface="Times New Roman" pitchFamily="18" charset="0"/>
              </a:defRPr>
            </a:pPr>
            <a:endParaRPr lang="pt-BR"/>
          </a:p>
        </c:txPr>
        <c:crossAx val="138696576"/>
        <c:crosses val="autoZero"/>
        <c:auto val="1"/>
        <c:lblAlgn val="ctr"/>
        <c:lblOffset val="100"/>
      </c:catAx>
      <c:valAx>
        <c:axId val="138696576"/>
        <c:scaling>
          <c:orientation val="minMax"/>
          <c:max val="210"/>
          <c:min val="50"/>
        </c:scaling>
        <c:axPos val="l"/>
        <c:title>
          <c:tx>
            <c:rich>
              <a:bodyPr/>
              <a:lstStyle/>
              <a:p>
                <a:pPr>
                  <a:defRPr sz="800" b="1" i="0" u="none" strike="noStrike" baseline="0">
                    <a:solidFill>
                      <a:srgbClr val="000000"/>
                    </a:solidFill>
                    <a:latin typeface="Times New Roman"/>
                    <a:ea typeface="Times New Roman"/>
                    <a:cs typeface="Times New Roman"/>
                  </a:defRPr>
                </a:pPr>
                <a:r>
                  <a:rPr lang="pt-BR" sz="800" b="1" i="0" u="none" strike="noStrike" baseline="0"/>
                  <a:t>PET (mm month</a:t>
                </a:r>
                <a:r>
                  <a:rPr lang="pt-BR" sz="800" b="1" i="0" u="none" strike="noStrike" baseline="30000"/>
                  <a:t>-1</a:t>
                </a:r>
                <a:r>
                  <a:rPr lang="pt-BR" sz="800"/>
                  <a:t>)        </a:t>
                </a:r>
              </a:p>
            </c:rich>
          </c:tx>
          <c:layout>
            <c:manualLayout>
              <c:xMode val="edge"/>
              <c:yMode val="edge"/>
              <c:x val="4.8085585585585654E-4"/>
              <c:y val="0.19430965768406358"/>
            </c:manualLayout>
          </c:layout>
          <c:spPr>
            <a:noFill/>
            <a:ln w="25400">
              <a:noFill/>
            </a:ln>
          </c:spPr>
        </c:title>
        <c:numFmt formatCode="General" sourceLinked="1"/>
        <c:tickLblPos val="nextTo"/>
        <c:spPr>
          <a:ln>
            <a:solidFill>
              <a:schemeClr val="tx1"/>
            </a:solidFill>
          </a:ln>
        </c:spPr>
        <c:txPr>
          <a:bodyPr rot="0" vert="horz"/>
          <a:lstStyle/>
          <a:p>
            <a:pPr>
              <a:defRPr sz="800" b="0" i="0" u="none" strike="noStrike" baseline="0">
                <a:solidFill>
                  <a:srgbClr val="000000"/>
                </a:solidFill>
                <a:latin typeface="Times New Roman"/>
                <a:ea typeface="Times New Roman"/>
                <a:cs typeface="Times New Roman"/>
              </a:defRPr>
            </a:pPr>
            <a:endParaRPr lang="pt-BR"/>
          </a:p>
        </c:txPr>
        <c:crossAx val="138681728"/>
        <c:crosses val="autoZero"/>
        <c:crossBetween val="between"/>
        <c:majorUnit val="20"/>
      </c:valAx>
    </c:plotArea>
    <c:legend>
      <c:legendPos val="r"/>
      <c:layout>
        <c:manualLayout>
          <c:xMode val="edge"/>
          <c:yMode val="edge"/>
          <c:x val="0"/>
          <c:y val="0.83228387020875094"/>
          <c:w val="0.99880050505050511"/>
          <c:h val="0.16604872152716696"/>
        </c:manualLayout>
      </c:layout>
      <c:txPr>
        <a:bodyPr/>
        <a:lstStyle/>
        <a:p>
          <a:pPr>
            <a:defRPr sz="600" b="0" i="0" u="none" strike="noStrike" baseline="0">
              <a:solidFill>
                <a:srgbClr val="000000"/>
              </a:solidFill>
              <a:latin typeface="Times New Roman"/>
              <a:ea typeface="Times New Roman"/>
              <a:cs typeface="Times New Roman"/>
            </a:defRPr>
          </a:pPr>
          <a:endParaRPr lang="pt-BR"/>
        </a:p>
      </c:txPr>
    </c:legend>
    <c:plotVisOnly val="1"/>
    <c:dispBlanksAs val="gap"/>
  </c:chart>
  <c:spPr>
    <a:solidFill>
      <a:srgbClr val="FFFFFF"/>
    </a:solidFill>
    <a:ln w="3175">
      <a:noFill/>
      <a:prstDash val="solid"/>
    </a:ln>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pt-BR"/>
  <c:style val="1"/>
  <c:chart>
    <c:plotArea>
      <c:layout>
        <c:manualLayout>
          <c:layoutTarget val="inner"/>
          <c:xMode val="edge"/>
          <c:yMode val="edge"/>
          <c:x val="0.17062779026691569"/>
          <c:y val="4.333431400675751E-2"/>
          <c:w val="0.78058290852672896"/>
          <c:h val="0.58029869728804262"/>
        </c:manualLayout>
      </c:layout>
      <c:lineChart>
        <c:grouping val="standard"/>
        <c:ser>
          <c:idx val="0"/>
          <c:order val="0"/>
          <c:tx>
            <c:v>Águas Belas</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Agreste!$B$2:$M$2</c:f>
              <c:numCache>
                <c:formatCode>General</c:formatCode>
                <c:ptCount val="12"/>
                <c:pt idx="0">
                  <c:v>136.6</c:v>
                </c:pt>
                <c:pt idx="1">
                  <c:v>120.3</c:v>
                </c:pt>
                <c:pt idx="2">
                  <c:v>129.19999999999999</c:v>
                </c:pt>
                <c:pt idx="3">
                  <c:v>114.9</c:v>
                </c:pt>
                <c:pt idx="4">
                  <c:v>100.1</c:v>
                </c:pt>
                <c:pt idx="5">
                  <c:v>82</c:v>
                </c:pt>
                <c:pt idx="6">
                  <c:v>75.2</c:v>
                </c:pt>
                <c:pt idx="7">
                  <c:v>79.400000000000006</c:v>
                </c:pt>
                <c:pt idx="8">
                  <c:v>92.6</c:v>
                </c:pt>
                <c:pt idx="9">
                  <c:v>118.3</c:v>
                </c:pt>
                <c:pt idx="10">
                  <c:v>128.80000000000001</c:v>
                </c:pt>
                <c:pt idx="11">
                  <c:v>135.80000000000001</c:v>
                </c:pt>
              </c:numCache>
            </c:numRef>
          </c:val>
        </c:ser>
        <c:ser>
          <c:idx val="1"/>
          <c:order val="1"/>
          <c:tx>
            <c:v>Alagoinha</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Agreste!$B$3:$M$3</c:f>
              <c:numCache>
                <c:formatCode>General</c:formatCode>
                <c:ptCount val="12"/>
                <c:pt idx="0">
                  <c:v>103.4</c:v>
                </c:pt>
                <c:pt idx="1">
                  <c:v>91.1</c:v>
                </c:pt>
                <c:pt idx="2">
                  <c:v>96</c:v>
                </c:pt>
                <c:pt idx="3">
                  <c:v>87.2</c:v>
                </c:pt>
                <c:pt idx="4">
                  <c:v>77.5</c:v>
                </c:pt>
                <c:pt idx="5">
                  <c:v>64.599999999999994</c:v>
                </c:pt>
                <c:pt idx="6">
                  <c:v>60.5</c:v>
                </c:pt>
                <c:pt idx="7">
                  <c:v>63.1</c:v>
                </c:pt>
                <c:pt idx="8">
                  <c:v>72.900000000000006</c:v>
                </c:pt>
                <c:pt idx="9">
                  <c:v>91.1</c:v>
                </c:pt>
                <c:pt idx="10">
                  <c:v>97.7</c:v>
                </c:pt>
                <c:pt idx="11">
                  <c:v>105.1</c:v>
                </c:pt>
              </c:numCache>
            </c:numRef>
          </c:val>
        </c:ser>
        <c:ser>
          <c:idx val="2"/>
          <c:order val="2"/>
          <c:tx>
            <c:v>Bezerros</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Agreste!$B$4:$M$4</c:f>
              <c:numCache>
                <c:formatCode>General</c:formatCode>
                <c:ptCount val="12"/>
                <c:pt idx="0">
                  <c:v>114.5</c:v>
                </c:pt>
                <c:pt idx="1">
                  <c:v>102</c:v>
                </c:pt>
                <c:pt idx="2">
                  <c:v>108.5</c:v>
                </c:pt>
                <c:pt idx="3">
                  <c:v>98.3</c:v>
                </c:pt>
                <c:pt idx="4">
                  <c:v>88</c:v>
                </c:pt>
                <c:pt idx="5">
                  <c:v>73.8</c:v>
                </c:pt>
                <c:pt idx="6">
                  <c:v>68.3</c:v>
                </c:pt>
                <c:pt idx="7">
                  <c:v>70.099999999999994</c:v>
                </c:pt>
                <c:pt idx="8">
                  <c:v>78.599999999999994</c:v>
                </c:pt>
                <c:pt idx="9">
                  <c:v>96.8</c:v>
                </c:pt>
                <c:pt idx="10">
                  <c:v>104.5</c:v>
                </c:pt>
                <c:pt idx="11">
                  <c:v>113.6</c:v>
                </c:pt>
              </c:numCache>
            </c:numRef>
          </c:val>
        </c:ser>
        <c:ser>
          <c:idx val="3"/>
          <c:order val="3"/>
          <c:tx>
            <c:v>Caruaru</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Agreste!$B$5:$M$5</c:f>
              <c:numCache>
                <c:formatCode>General</c:formatCode>
                <c:ptCount val="12"/>
                <c:pt idx="0">
                  <c:v>107.3</c:v>
                </c:pt>
                <c:pt idx="1">
                  <c:v>97.8</c:v>
                </c:pt>
                <c:pt idx="2">
                  <c:v>106.3</c:v>
                </c:pt>
                <c:pt idx="3">
                  <c:v>97.5</c:v>
                </c:pt>
                <c:pt idx="4">
                  <c:v>89.4</c:v>
                </c:pt>
                <c:pt idx="5">
                  <c:v>73.3</c:v>
                </c:pt>
                <c:pt idx="6">
                  <c:v>67.900000000000006</c:v>
                </c:pt>
                <c:pt idx="7">
                  <c:v>70.599999999999994</c:v>
                </c:pt>
                <c:pt idx="8">
                  <c:v>78</c:v>
                </c:pt>
                <c:pt idx="9">
                  <c:v>97.2</c:v>
                </c:pt>
                <c:pt idx="10">
                  <c:v>104.8</c:v>
                </c:pt>
                <c:pt idx="11">
                  <c:v>112.6</c:v>
                </c:pt>
              </c:numCache>
            </c:numRef>
          </c:val>
        </c:ser>
        <c:ser>
          <c:idx val="4"/>
          <c:order val="4"/>
          <c:tx>
            <c:v>Gravatá</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Agreste!$B$6:$M$6</c:f>
              <c:numCache>
                <c:formatCode>General</c:formatCode>
                <c:ptCount val="12"/>
                <c:pt idx="0">
                  <c:v>114.4</c:v>
                </c:pt>
                <c:pt idx="1">
                  <c:v>101.9</c:v>
                </c:pt>
                <c:pt idx="2">
                  <c:v>109.6</c:v>
                </c:pt>
                <c:pt idx="3">
                  <c:v>100.3</c:v>
                </c:pt>
                <c:pt idx="4">
                  <c:v>88.9</c:v>
                </c:pt>
                <c:pt idx="5">
                  <c:v>73.7</c:v>
                </c:pt>
                <c:pt idx="6">
                  <c:v>68.099999999999994</c:v>
                </c:pt>
                <c:pt idx="7">
                  <c:v>70</c:v>
                </c:pt>
                <c:pt idx="8">
                  <c:v>77.5</c:v>
                </c:pt>
                <c:pt idx="9">
                  <c:v>95.6</c:v>
                </c:pt>
                <c:pt idx="10">
                  <c:v>104.4</c:v>
                </c:pt>
                <c:pt idx="11">
                  <c:v>113.5</c:v>
                </c:pt>
              </c:numCache>
            </c:numRef>
          </c:val>
        </c:ser>
        <c:ser>
          <c:idx val="5"/>
          <c:order val="5"/>
          <c:tx>
            <c:v>Pesqueira</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Agreste!$B$7:$M$7</c:f>
              <c:numCache>
                <c:formatCode>General</c:formatCode>
                <c:ptCount val="12"/>
                <c:pt idx="0">
                  <c:v>117.4</c:v>
                </c:pt>
                <c:pt idx="1">
                  <c:v>101.2</c:v>
                </c:pt>
                <c:pt idx="2">
                  <c:v>102.9</c:v>
                </c:pt>
                <c:pt idx="3">
                  <c:v>93.3</c:v>
                </c:pt>
                <c:pt idx="4">
                  <c:v>81.400000000000006</c:v>
                </c:pt>
                <c:pt idx="5">
                  <c:v>68.2</c:v>
                </c:pt>
                <c:pt idx="6">
                  <c:v>65.5</c:v>
                </c:pt>
                <c:pt idx="7">
                  <c:v>69</c:v>
                </c:pt>
                <c:pt idx="8">
                  <c:v>79.2</c:v>
                </c:pt>
                <c:pt idx="9">
                  <c:v>97.4</c:v>
                </c:pt>
                <c:pt idx="10">
                  <c:v>108.5</c:v>
                </c:pt>
                <c:pt idx="11">
                  <c:v>116.8</c:v>
                </c:pt>
              </c:numCache>
            </c:numRef>
          </c:val>
        </c:ser>
        <c:ser>
          <c:idx val="6"/>
          <c:order val="6"/>
          <c:tx>
            <c:v>Cimbres</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Agreste!$B$8:$M$8</c:f>
              <c:numCache>
                <c:formatCode>General</c:formatCode>
                <c:ptCount val="12"/>
                <c:pt idx="0">
                  <c:v>98.6</c:v>
                </c:pt>
                <c:pt idx="1">
                  <c:v>86.1</c:v>
                </c:pt>
                <c:pt idx="2">
                  <c:v>90.7</c:v>
                </c:pt>
                <c:pt idx="3">
                  <c:v>82.5</c:v>
                </c:pt>
                <c:pt idx="4">
                  <c:v>73.5</c:v>
                </c:pt>
                <c:pt idx="5">
                  <c:v>61.3</c:v>
                </c:pt>
                <c:pt idx="6">
                  <c:v>57.7</c:v>
                </c:pt>
                <c:pt idx="7">
                  <c:v>60.7</c:v>
                </c:pt>
                <c:pt idx="8">
                  <c:v>70</c:v>
                </c:pt>
                <c:pt idx="9">
                  <c:v>88.1</c:v>
                </c:pt>
                <c:pt idx="10">
                  <c:v>94.3</c:v>
                </c:pt>
                <c:pt idx="11">
                  <c:v>100</c:v>
                </c:pt>
              </c:numCache>
            </c:numRef>
          </c:val>
        </c:ser>
        <c:ser>
          <c:idx val="7"/>
          <c:order val="7"/>
          <c:tx>
            <c:v>São Caetano</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Agreste!$B$9:$M$9</c:f>
              <c:numCache>
                <c:formatCode>General</c:formatCode>
                <c:ptCount val="12"/>
                <c:pt idx="0">
                  <c:v>112.5</c:v>
                </c:pt>
                <c:pt idx="1">
                  <c:v>100.2</c:v>
                </c:pt>
                <c:pt idx="2">
                  <c:v>105.4</c:v>
                </c:pt>
                <c:pt idx="3">
                  <c:v>95.6</c:v>
                </c:pt>
                <c:pt idx="4">
                  <c:v>85.6</c:v>
                </c:pt>
                <c:pt idx="5">
                  <c:v>71</c:v>
                </c:pt>
                <c:pt idx="6">
                  <c:v>67.8</c:v>
                </c:pt>
                <c:pt idx="7">
                  <c:v>69.2</c:v>
                </c:pt>
                <c:pt idx="8">
                  <c:v>77.5</c:v>
                </c:pt>
                <c:pt idx="9">
                  <c:v>96.4</c:v>
                </c:pt>
                <c:pt idx="10">
                  <c:v>103.9</c:v>
                </c:pt>
                <c:pt idx="11">
                  <c:v>113</c:v>
                </c:pt>
              </c:numCache>
            </c:numRef>
          </c:val>
        </c:ser>
        <c:ser>
          <c:idx val="8"/>
          <c:order val="8"/>
          <c:tx>
            <c:v>S. B. do Una</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Agreste!$B$10:$M$10</c:f>
              <c:numCache>
                <c:formatCode>General</c:formatCode>
                <c:ptCount val="12"/>
                <c:pt idx="0">
                  <c:v>107.7</c:v>
                </c:pt>
                <c:pt idx="1">
                  <c:v>95.9</c:v>
                </c:pt>
                <c:pt idx="2">
                  <c:v>101</c:v>
                </c:pt>
                <c:pt idx="3">
                  <c:v>91.7</c:v>
                </c:pt>
                <c:pt idx="4">
                  <c:v>81.3</c:v>
                </c:pt>
                <c:pt idx="5">
                  <c:v>67.599999999999994</c:v>
                </c:pt>
                <c:pt idx="6">
                  <c:v>63.2</c:v>
                </c:pt>
                <c:pt idx="7">
                  <c:v>65.099999999999994</c:v>
                </c:pt>
                <c:pt idx="8">
                  <c:v>73.7</c:v>
                </c:pt>
                <c:pt idx="9">
                  <c:v>92.6</c:v>
                </c:pt>
                <c:pt idx="10">
                  <c:v>100.7</c:v>
                </c:pt>
                <c:pt idx="11">
                  <c:v>108.3</c:v>
                </c:pt>
              </c:numCache>
            </c:numRef>
          </c:val>
        </c:ser>
        <c:ser>
          <c:idx val="9"/>
          <c:order val="9"/>
          <c:tx>
            <c:v>Correntes</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Agreste!$B$11:$M$11</c:f>
              <c:numCache>
                <c:formatCode>General</c:formatCode>
                <c:ptCount val="12"/>
                <c:pt idx="0">
                  <c:v>118.2</c:v>
                </c:pt>
                <c:pt idx="1">
                  <c:v>106.5</c:v>
                </c:pt>
                <c:pt idx="2">
                  <c:v>117.1</c:v>
                </c:pt>
                <c:pt idx="3">
                  <c:v>98.9</c:v>
                </c:pt>
                <c:pt idx="4">
                  <c:v>86.9</c:v>
                </c:pt>
                <c:pt idx="5">
                  <c:v>70.900000000000006</c:v>
                </c:pt>
                <c:pt idx="6">
                  <c:v>66.2</c:v>
                </c:pt>
                <c:pt idx="7">
                  <c:v>66.2</c:v>
                </c:pt>
                <c:pt idx="8">
                  <c:v>76.7</c:v>
                </c:pt>
                <c:pt idx="9">
                  <c:v>98.4</c:v>
                </c:pt>
                <c:pt idx="10">
                  <c:v>115.5</c:v>
                </c:pt>
                <c:pt idx="11">
                  <c:v>125.7</c:v>
                </c:pt>
              </c:numCache>
            </c:numRef>
          </c:val>
        </c:ser>
        <c:ser>
          <c:idx val="10"/>
          <c:order val="10"/>
          <c:tx>
            <c:v>Garanhuns</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Agreste!$B$12:$M$12</c:f>
              <c:numCache>
                <c:formatCode>General</c:formatCode>
                <c:ptCount val="12"/>
                <c:pt idx="0">
                  <c:v>92.3</c:v>
                </c:pt>
                <c:pt idx="1">
                  <c:v>83.9</c:v>
                </c:pt>
                <c:pt idx="2">
                  <c:v>89.2</c:v>
                </c:pt>
                <c:pt idx="3">
                  <c:v>81.2</c:v>
                </c:pt>
                <c:pt idx="4">
                  <c:v>72.7</c:v>
                </c:pt>
                <c:pt idx="5">
                  <c:v>60.1</c:v>
                </c:pt>
                <c:pt idx="6">
                  <c:v>55.3</c:v>
                </c:pt>
                <c:pt idx="7">
                  <c:v>56.8</c:v>
                </c:pt>
                <c:pt idx="8">
                  <c:v>63.3</c:v>
                </c:pt>
                <c:pt idx="9">
                  <c:v>80.599999999999994</c:v>
                </c:pt>
                <c:pt idx="10">
                  <c:v>87.1</c:v>
                </c:pt>
                <c:pt idx="11">
                  <c:v>92.6</c:v>
                </c:pt>
              </c:numCache>
            </c:numRef>
          </c:val>
        </c:ser>
        <c:ser>
          <c:idx val="11"/>
          <c:order val="11"/>
          <c:tx>
            <c:v>S. J. do Monte</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Agreste!$B$13:$M$13</c:f>
              <c:numCache>
                <c:formatCode>General</c:formatCode>
                <c:ptCount val="12"/>
                <c:pt idx="0">
                  <c:v>113.5</c:v>
                </c:pt>
                <c:pt idx="1">
                  <c:v>101.2</c:v>
                </c:pt>
                <c:pt idx="2">
                  <c:v>107.6</c:v>
                </c:pt>
                <c:pt idx="3">
                  <c:v>97.6</c:v>
                </c:pt>
                <c:pt idx="4">
                  <c:v>87.4</c:v>
                </c:pt>
                <c:pt idx="5">
                  <c:v>72.5</c:v>
                </c:pt>
                <c:pt idx="6">
                  <c:v>67.099999999999994</c:v>
                </c:pt>
                <c:pt idx="7">
                  <c:v>68.900000000000006</c:v>
                </c:pt>
                <c:pt idx="8">
                  <c:v>77.2</c:v>
                </c:pt>
                <c:pt idx="9">
                  <c:v>95.1</c:v>
                </c:pt>
                <c:pt idx="10">
                  <c:v>103.7</c:v>
                </c:pt>
                <c:pt idx="11">
                  <c:v>113</c:v>
                </c:pt>
              </c:numCache>
            </c:numRef>
          </c:val>
        </c:ser>
        <c:ser>
          <c:idx val="12"/>
          <c:order val="12"/>
          <c:tx>
            <c:v>Bom Jardim</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Agreste!$B$14:$M$14</c:f>
              <c:numCache>
                <c:formatCode>General</c:formatCode>
                <c:ptCount val="12"/>
                <c:pt idx="0">
                  <c:v>124.4</c:v>
                </c:pt>
                <c:pt idx="1">
                  <c:v>111.2</c:v>
                </c:pt>
                <c:pt idx="2">
                  <c:v>118.1</c:v>
                </c:pt>
                <c:pt idx="3">
                  <c:v>107.2</c:v>
                </c:pt>
                <c:pt idx="4">
                  <c:v>96.5</c:v>
                </c:pt>
                <c:pt idx="5">
                  <c:v>80.5</c:v>
                </c:pt>
                <c:pt idx="6">
                  <c:v>75.900000000000006</c:v>
                </c:pt>
                <c:pt idx="7">
                  <c:v>79.099999999999994</c:v>
                </c:pt>
                <c:pt idx="8">
                  <c:v>87.8</c:v>
                </c:pt>
                <c:pt idx="9">
                  <c:v>106.1</c:v>
                </c:pt>
                <c:pt idx="10">
                  <c:v>113.3</c:v>
                </c:pt>
                <c:pt idx="11">
                  <c:v>123.7</c:v>
                </c:pt>
              </c:numCache>
            </c:numRef>
          </c:val>
        </c:ser>
        <c:ser>
          <c:idx val="13"/>
          <c:order val="13"/>
          <c:tx>
            <c:v>Limoeiro</c:v>
          </c:tx>
          <c:spPr>
            <a:ln w="3175">
              <a:solidFill>
                <a:sysClr val="windowText" lastClr="000000"/>
              </a:solidFill>
            </a:ln>
          </c:spPr>
          <c:marker>
            <c:spPr>
              <a:noFill/>
              <a:ln w="6350">
                <a:solidFill>
                  <a:sysClr val="windowText" lastClr="000000"/>
                </a:solidFill>
              </a:ln>
            </c:spPr>
          </c:marke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Agreste!$B$15:$M$15</c:f>
              <c:numCache>
                <c:formatCode>General</c:formatCode>
                <c:ptCount val="12"/>
                <c:pt idx="0">
                  <c:v>142.30000000000001</c:v>
                </c:pt>
                <c:pt idx="1">
                  <c:v>123.7</c:v>
                </c:pt>
                <c:pt idx="2">
                  <c:v>131.19999999999999</c:v>
                </c:pt>
                <c:pt idx="3">
                  <c:v>120.2</c:v>
                </c:pt>
                <c:pt idx="4">
                  <c:v>108.8</c:v>
                </c:pt>
                <c:pt idx="5">
                  <c:v>91.4</c:v>
                </c:pt>
                <c:pt idx="6">
                  <c:v>85.8</c:v>
                </c:pt>
                <c:pt idx="7">
                  <c:v>90.7</c:v>
                </c:pt>
                <c:pt idx="8">
                  <c:v>99.8</c:v>
                </c:pt>
                <c:pt idx="9">
                  <c:v>120</c:v>
                </c:pt>
                <c:pt idx="10">
                  <c:v>128.69999999999999</c:v>
                </c:pt>
                <c:pt idx="11">
                  <c:v>141</c:v>
                </c:pt>
              </c:numCache>
            </c:numRef>
          </c:val>
        </c:ser>
        <c:marker val="1"/>
        <c:axId val="139025792"/>
        <c:axId val="139073408"/>
      </c:lineChart>
      <c:catAx>
        <c:axId val="139025792"/>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layout>
            <c:manualLayout>
              <c:xMode val="edge"/>
              <c:yMode val="edge"/>
              <c:x val="0.46869775728446933"/>
              <c:y val="0.75249375938107399"/>
            </c:manualLayout>
          </c:layout>
          <c:spPr>
            <a:ln w="3175"/>
          </c:spPr>
        </c:title>
        <c:numFmt formatCode="General" sourceLinked="1"/>
        <c:majorTickMark val="none"/>
        <c:minorTickMark val="out"/>
        <c:tickLblPos val="nextTo"/>
        <c:spPr>
          <a:ln>
            <a:solidFill>
              <a:sysClr val="windowText" lastClr="000000"/>
            </a:solidFill>
          </a:ln>
        </c:spPr>
        <c:txPr>
          <a:bodyPr rot="-5400000" vert="horz"/>
          <a:lstStyle/>
          <a:p>
            <a:pPr>
              <a:defRPr sz="800">
                <a:latin typeface="Times New Roman" pitchFamily="18" charset="0"/>
                <a:cs typeface="Times New Roman" pitchFamily="18" charset="0"/>
              </a:defRPr>
            </a:pPr>
            <a:endParaRPr lang="pt-BR"/>
          </a:p>
        </c:txPr>
        <c:crossAx val="139073408"/>
        <c:crosses val="autoZero"/>
        <c:auto val="1"/>
        <c:lblAlgn val="ctr"/>
        <c:lblOffset val="100"/>
      </c:catAx>
      <c:valAx>
        <c:axId val="139073408"/>
        <c:scaling>
          <c:orientation val="minMax"/>
          <c:max val="210"/>
          <c:min val="50"/>
        </c:scaling>
        <c:axPos val="l"/>
        <c:numFmt formatCode="General" sourceLinked="1"/>
        <c:tickLblPos val="nextTo"/>
        <c:spPr>
          <a:ln>
            <a:solidFill>
              <a:schemeClr val="tx1"/>
            </a:solidFill>
          </a:ln>
        </c:spPr>
        <c:txPr>
          <a:bodyPr rot="0" vert="horz"/>
          <a:lstStyle/>
          <a:p>
            <a:pPr>
              <a:defRPr sz="800" b="0" i="0" u="none" strike="noStrike" baseline="0">
                <a:solidFill>
                  <a:srgbClr val="000000"/>
                </a:solidFill>
                <a:latin typeface="Times New Roman"/>
                <a:ea typeface="Times New Roman"/>
                <a:cs typeface="Times New Roman"/>
              </a:defRPr>
            </a:pPr>
            <a:endParaRPr lang="pt-BR"/>
          </a:p>
        </c:txPr>
        <c:crossAx val="139025792"/>
        <c:crosses val="autoZero"/>
        <c:crossBetween val="between"/>
        <c:majorUnit val="20"/>
      </c:valAx>
    </c:plotArea>
    <c:legend>
      <c:legendPos val="r"/>
      <c:layout>
        <c:manualLayout>
          <c:xMode val="edge"/>
          <c:yMode val="edge"/>
          <c:x val="4.8852657729933722E-4"/>
          <c:y val="0.83917947531881398"/>
          <c:w val="0.99148522823290519"/>
          <c:h val="0.16030582468825258"/>
        </c:manualLayout>
      </c:layout>
      <c:txPr>
        <a:bodyPr/>
        <a:lstStyle/>
        <a:p>
          <a:pPr>
            <a:defRPr sz="600" b="0" i="0" u="none" strike="noStrike" baseline="0">
              <a:solidFill>
                <a:srgbClr val="000000"/>
              </a:solidFill>
              <a:latin typeface="Times New Roman"/>
              <a:ea typeface="Times New Roman"/>
              <a:cs typeface="Times New Roman"/>
            </a:defRPr>
          </a:pPr>
          <a:endParaRPr lang="pt-BR"/>
        </a:p>
      </c:txPr>
    </c:legend>
    <c:plotVisOnly val="1"/>
    <c:dispBlanksAs val="gap"/>
  </c:chart>
  <c:spPr>
    <a:solidFill>
      <a:srgbClr val="FFFFFF"/>
    </a:solidFill>
    <a:ln w="9525">
      <a:noFill/>
      <a:prstDash val="solid"/>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pt-BR"/>
  <c:chart>
    <c:plotArea>
      <c:layout>
        <c:manualLayout>
          <c:layoutTarget val="inner"/>
          <c:xMode val="edge"/>
          <c:yMode val="edge"/>
          <c:x val="0.19023635584245982"/>
          <c:y val="5.4321205007824724E-2"/>
          <c:w val="0.7518685508747146"/>
          <c:h val="0.50397929162194588"/>
        </c:manualLayout>
      </c:layout>
      <c:lineChart>
        <c:grouping val="standard"/>
        <c:ser>
          <c:idx val="0"/>
          <c:order val="0"/>
          <c:tx>
            <c:v>Araripina</c:v>
          </c:tx>
          <c:spPr>
            <a:ln w="3175">
              <a:solidFill>
                <a:schemeClr val="tx1"/>
              </a:solidFill>
            </a:ln>
          </c:spPr>
          <c:marker>
            <c:spPr>
              <a:noFill/>
              <a:ln w="6350">
                <a:solidFill>
                  <a:prstClr val="black"/>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sertao!$B$2:$M$2</c:f>
              <c:numCache>
                <c:formatCode>General</c:formatCode>
                <c:ptCount val="12"/>
                <c:pt idx="0">
                  <c:v>142.5</c:v>
                </c:pt>
                <c:pt idx="1">
                  <c:v>109.7</c:v>
                </c:pt>
                <c:pt idx="2">
                  <c:v>102.4</c:v>
                </c:pt>
                <c:pt idx="3">
                  <c:v>85.7</c:v>
                </c:pt>
                <c:pt idx="4">
                  <c:v>74.099999999999994</c:v>
                </c:pt>
                <c:pt idx="5">
                  <c:v>61.9</c:v>
                </c:pt>
                <c:pt idx="6">
                  <c:v>64</c:v>
                </c:pt>
                <c:pt idx="7">
                  <c:v>78.8</c:v>
                </c:pt>
                <c:pt idx="8">
                  <c:v>109.8</c:v>
                </c:pt>
                <c:pt idx="9">
                  <c:v>147.6</c:v>
                </c:pt>
                <c:pt idx="10">
                  <c:v>150.5</c:v>
                </c:pt>
                <c:pt idx="11">
                  <c:v>154.5</c:v>
                </c:pt>
              </c:numCache>
            </c:numRef>
          </c:val>
        </c:ser>
        <c:ser>
          <c:idx val="1"/>
          <c:order val="1"/>
          <c:tx>
            <c:v>S. J. do Egito</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sertao!$B$3:$M$3</c:f>
              <c:numCache>
                <c:formatCode>General</c:formatCode>
                <c:ptCount val="12"/>
                <c:pt idx="0">
                  <c:v>120.7</c:v>
                </c:pt>
                <c:pt idx="1">
                  <c:v>101.4</c:v>
                </c:pt>
                <c:pt idx="2">
                  <c:v>105.6</c:v>
                </c:pt>
                <c:pt idx="3">
                  <c:v>96.9</c:v>
                </c:pt>
                <c:pt idx="4">
                  <c:v>90.4</c:v>
                </c:pt>
                <c:pt idx="5">
                  <c:v>76.5</c:v>
                </c:pt>
                <c:pt idx="6">
                  <c:v>75.3</c:v>
                </c:pt>
                <c:pt idx="7">
                  <c:v>80.400000000000006</c:v>
                </c:pt>
                <c:pt idx="8">
                  <c:v>92.1</c:v>
                </c:pt>
                <c:pt idx="9">
                  <c:v>110.4</c:v>
                </c:pt>
                <c:pt idx="10">
                  <c:v>115.2</c:v>
                </c:pt>
                <c:pt idx="11">
                  <c:v>123.9</c:v>
                </c:pt>
              </c:numCache>
            </c:numRef>
          </c:val>
        </c:ser>
        <c:ser>
          <c:idx val="2"/>
          <c:order val="2"/>
          <c:tx>
            <c:v>Exú</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sertao!$B$4:$M$4</c:f>
              <c:numCache>
                <c:formatCode>General</c:formatCode>
                <c:ptCount val="12"/>
                <c:pt idx="0">
                  <c:v>136.69999999999999</c:v>
                </c:pt>
                <c:pt idx="1">
                  <c:v>110.4</c:v>
                </c:pt>
                <c:pt idx="2">
                  <c:v>111</c:v>
                </c:pt>
                <c:pt idx="3">
                  <c:v>102.9</c:v>
                </c:pt>
                <c:pt idx="4">
                  <c:v>97.8</c:v>
                </c:pt>
                <c:pt idx="5">
                  <c:v>85.3</c:v>
                </c:pt>
                <c:pt idx="6">
                  <c:v>87.3</c:v>
                </c:pt>
                <c:pt idx="7">
                  <c:v>98.8</c:v>
                </c:pt>
                <c:pt idx="8">
                  <c:v>119.9</c:v>
                </c:pt>
                <c:pt idx="9">
                  <c:v>144.4</c:v>
                </c:pt>
                <c:pt idx="10">
                  <c:v>142.1</c:v>
                </c:pt>
                <c:pt idx="11">
                  <c:v>144.5</c:v>
                </c:pt>
              </c:numCache>
            </c:numRef>
          </c:val>
        </c:ser>
        <c:ser>
          <c:idx val="3"/>
          <c:order val="3"/>
          <c:tx>
            <c:v>S. J. Belmonte</c:v>
          </c:tx>
          <c:spPr>
            <a:ln w="3175">
              <a:solidFill>
                <a:sysClr val="windowText" lastClr="000000"/>
              </a:solidFill>
            </a:ln>
          </c:spPr>
          <c:marker>
            <c:spPr>
              <a:noFill/>
              <a:ln w="6350">
                <a:solidFill>
                  <a:sysClr val="windowText" lastClr="000000"/>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sertao!$B$5:$M$5</c:f>
              <c:numCache>
                <c:formatCode>General</c:formatCode>
                <c:ptCount val="12"/>
                <c:pt idx="0">
                  <c:v>142.19999999999999</c:v>
                </c:pt>
                <c:pt idx="1">
                  <c:v>117.4</c:v>
                </c:pt>
                <c:pt idx="2">
                  <c:v>119.7</c:v>
                </c:pt>
                <c:pt idx="3">
                  <c:v>109.5</c:v>
                </c:pt>
                <c:pt idx="4">
                  <c:v>101.4</c:v>
                </c:pt>
                <c:pt idx="5">
                  <c:v>87.1</c:v>
                </c:pt>
                <c:pt idx="6">
                  <c:v>86.4</c:v>
                </c:pt>
                <c:pt idx="7">
                  <c:v>96.6</c:v>
                </c:pt>
                <c:pt idx="8">
                  <c:v>115.1</c:v>
                </c:pt>
                <c:pt idx="9">
                  <c:v>141.80000000000001</c:v>
                </c:pt>
                <c:pt idx="10">
                  <c:v>142.1</c:v>
                </c:pt>
                <c:pt idx="11">
                  <c:v>148.1</c:v>
                </c:pt>
              </c:numCache>
            </c:numRef>
          </c:val>
        </c:ser>
        <c:ser>
          <c:idx val="4"/>
          <c:order val="4"/>
          <c:tx>
            <c:v>Verdejante</c:v>
          </c:tx>
          <c:spPr>
            <a:ln w="3175">
              <a:solidFill>
                <a:prstClr val="black"/>
              </a:solidFill>
            </a:ln>
          </c:spPr>
          <c:marker>
            <c:spPr>
              <a:noFill/>
              <a:ln w="6350">
                <a:solidFill>
                  <a:prstClr val="black"/>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sertao!$B$6:$M$6</c:f>
              <c:numCache>
                <c:formatCode>General</c:formatCode>
                <c:ptCount val="12"/>
                <c:pt idx="0">
                  <c:v>144.5</c:v>
                </c:pt>
                <c:pt idx="1">
                  <c:v>117.2</c:v>
                </c:pt>
                <c:pt idx="2">
                  <c:v>121</c:v>
                </c:pt>
                <c:pt idx="3">
                  <c:v>110.7</c:v>
                </c:pt>
                <c:pt idx="4">
                  <c:v>101</c:v>
                </c:pt>
                <c:pt idx="5">
                  <c:v>86.7</c:v>
                </c:pt>
                <c:pt idx="6">
                  <c:v>87.2</c:v>
                </c:pt>
                <c:pt idx="7">
                  <c:v>97.6</c:v>
                </c:pt>
                <c:pt idx="8">
                  <c:v>117.9</c:v>
                </c:pt>
                <c:pt idx="9">
                  <c:v>144.9</c:v>
                </c:pt>
                <c:pt idx="10">
                  <c:v>142.1</c:v>
                </c:pt>
                <c:pt idx="11">
                  <c:v>148.1</c:v>
                </c:pt>
              </c:numCache>
            </c:numRef>
          </c:val>
        </c:ser>
        <c:ser>
          <c:idx val="5"/>
          <c:order val="5"/>
          <c:tx>
            <c:v>Parnamirim</c:v>
          </c:tx>
          <c:spPr>
            <a:ln w="3175">
              <a:solidFill>
                <a:prstClr val="black"/>
              </a:solidFill>
            </a:ln>
          </c:spPr>
          <c:marker>
            <c:spPr>
              <a:noFill/>
              <a:ln w="6350">
                <a:solidFill>
                  <a:prstClr val="black"/>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sertao!$B$7:$M$7</c:f>
              <c:numCache>
                <c:formatCode>General</c:formatCode>
                <c:ptCount val="12"/>
                <c:pt idx="0">
                  <c:v>150.9</c:v>
                </c:pt>
                <c:pt idx="1">
                  <c:v>131.6</c:v>
                </c:pt>
                <c:pt idx="2">
                  <c:v>131.1</c:v>
                </c:pt>
                <c:pt idx="3">
                  <c:v>117.7</c:v>
                </c:pt>
                <c:pt idx="4">
                  <c:v>107</c:v>
                </c:pt>
                <c:pt idx="5">
                  <c:v>92.8</c:v>
                </c:pt>
                <c:pt idx="6">
                  <c:v>92.1</c:v>
                </c:pt>
                <c:pt idx="7">
                  <c:v>105</c:v>
                </c:pt>
                <c:pt idx="8">
                  <c:v>129.5</c:v>
                </c:pt>
                <c:pt idx="9">
                  <c:v>151.19999999999999</c:v>
                </c:pt>
                <c:pt idx="10">
                  <c:v>151.4</c:v>
                </c:pt>
                <c:pt idx="11">
                  <c:v>154.6</c:v>
                </c:pt>
              </c:numCache>
            </c:numRef>
          </c:val>
        </c:ser>
        <c:ser>
          <c:idx val="6"/>
          <c:order val="6"/>
          <c:tx>
            <c:v>Salgueiro</c:v>
          </c:tx>
          <c:spPr>
            <a:ln w="3175">
              <a:solidFill>
                <a:prstClr val="black"/>
              </a:solidFill>
            </a:ln>
          </c:spPr>
          <c:marker>
            <c:spPr>
              <a:noFill/>
              <a:ln w="6350">
                <a:solidFill>
                  <a:prstClr val="black"/>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sertao!$B$8:$M$8</c:f>
              <c:numCache>
                <c:formatCode>General</c:formatCode>
                <c:ptCount val="12"/>
                <c:pt idx="0">
                  <c:v>147.69999999999999</c:v>
                </c:pt>
                <c:pt idx="1">
                  <c:v>122.9</c:v>
                </c:pt>
                <c:pt idx="2">
                  <c:v>126.8</c:v>
                </c:pt>
                <c:pt idx="3">
                  <c:v>114</c:v>
                </c:pt>
                <c:pt idx="4">
                  <c:v>103.9</c:v>
                </c:pt>
                <c:pt idx="5">
                  <c:v>89</c:v>
                </c:pt>
                <c:pt idx="6">
                  <c:v>88.5</c:v>
                </c:pt>
                <c:pt idx="7">
                  <c:v>99.2</c:v>
                </c:pt>
                <c:pt idx="8">
                  <c:v>121.9</c:v>
                </c:pt>
                <c:pt idx="9">
                  <c:v>148.1</c:v>
                </c:pt>
                <c:pt idx="10">
                  <c:v>148.30000000000001</c:v>
                </c:pt>
                <c:pt idx="11">
                  <c:v>151.30000000000001</c:v>
                </c:pt>
              </c:numCache>
            </c:numRef>
          </c:val>
        </c:ser>
        <c:ser>
          <c:idx val="7"/>
          <c:order val="7"/>
          <c:tx>
            <c:v>Ibimirim</c:v>
          </c:tx>
          <c:spPr>
            <a:ln w="3175">
              <a:solidFill>
                <a:prstClr val="black"/>
              </a:solidFill>
            </a:ln>
          </c:spPr>
          <c:marker>
            <c:spPr>
              <a:noFill/>
              <a:ln w="6350">
                <a:solidFill>
                  <a:prstClr val="black"/>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sertao!$B$9:$M$9</c:f>
              <c:numCache>
                <c:formatCode>General</c:formatCode>
                <c:ptCount val="12"/>
                <c:pt idx="0">
                  <c:v>136.5</c:v>
                </c:pt>
                <c:pt idx="1">
                  <c:v>116.9</c:v>
                </c:pt>
                <c:pt idx="2">
                  <c:v>122.6</c:v>
                </c:pt>
                <c:pt idx="3">
                  <c:v>112.1</c:v>
                </c:pt>
                <c:pt idx="4">
                  <c:v>99.1</c:v>
                </c:pt>
                <c:pt idx="5">
                  <c:v>81.900000000000006</c:v>
                </c:pt>
                <c:pt idx="6">
                  <c:v>77.2</c:v>
                </c:pt>
                <c:pt idx="7">
                  <c:v>82.9</c:v>
                </c:pt>
                <c:pt idx="8">
                  <c:v>97.5</c:v>
                </c:pt>
                <c:pt idx="9">
                  <c:v>122.7</c:v>
                </c:pt>
                <c:pt idx="10">
                  <c:v>131.4</c:v>
                </c:pt>
                <c:pt idx="11">
                  <c:v>137</c:v>
                </c:pt>
              </c:numCache>
            </c:numRef>
          </c:val>
        </c:ser>
        <c:ser>
          <c:idx val="8"/>
          <c:order val="8"/>
          <c:tx>
            <c:v>Arcoverde</c:v>
          </c:tx>
          <c:spPr>
            <a:ln w="3175">
              <a:solidFill>
                <a:prstClr val="black"/>
              </a:solidFill>
            </a:ln>
          </c:spPr>
          <c:marker>
            <c:spPr>
              <a:noFill/>
              <a:ln w="6350">
                <a:solidFill>
                  <a:prstClr val="black"/>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sertao!$B$10:$M$10</c:f>
              <c:numCache>
                <c:formatCode>General</c:formatCode>
                <c:ptCount val="12"/>
                <c:pt idx="0">
                  <c:v>111.4</c:v>
                </c:pt>
                <c:pt idx="1">
                  <c:v>97.1</c:v>
                </c:pt>
                <c:pt idx="2">
                  <c:v>102.1</c:v>
                </c:pt>
                <c:pt idx="3">
                  <c:v>92.6</c:v>
                </c:pt>
                <c:pt idx="4">
                  <c:v>82.9</c:v>
                </c:pt>
                <c:pt idx="5">
                  <c:v>69.5</c:v>
                </c:pt>
                <c:pt idx="6">
                  <c:v>65.8</c:v>
                </c:pt>
                <c:pt idx="7">
                  <c:v>69.5</c:v>
                </c:pt>
                <c:pt idx="8">
                  <c:v>79.7</c:v>
                </c:pt>
                <c:pt idx="9">
                  <c:v>100</c:v>
                </c:pt>
                <c:pt idx="10">
                  <c:v>106.4</c:v>
                </c:pt>
                <c:pt idx="11">
                  <c:v>113.3</c:v>
                </c:pt>
              </c:numCache>
            </c:numRef>
          </c:val>
        </c:ser>
        <c:ser>
          <c:idx val="9"/>
          <c:order val="9"/>
          <c:tx>
            <c:v>Serra Talhada</c:v>
          </c:tx>
          <c:spPr>
            <a:ln w="3175">
              <a:solidFill>
                <a:prstClr val="black"/>
              </a:solidFill>
            </a:ln>
          </c:spPr>
          <c:marker>
            <c:spPr>
              <a:noFill/>
              <a:ln w="6350">
                <a:solidFill>
                  <a:prstClr val="black"/>
                </a:solidFill>
              </a:ln>
            </c:spPr>
          </c:marke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sertao!$B$11:$M$11</c:f>
              <c:numCache>
                <c:formatCode>General</c:formatCode>
                <c:ptCount val="12"/>
                <c:pt idx="0">
                  <c:v>131.4</c:v>
                </c:pt>
                <c:pt idx="1">
                  <c:v>107.5</c:v>
                </c:pt>
                <c:pt idx="2">
                  <c:v>109.9</c:v>
                </c:pt>
                <c:pt idx="3">
                  <c:v>102</c:v>
                </c:pt>
                <c:pt idx="4">
                  <c:v>94.7</c:v>
                </c:pt>
                <c:pt idx="5">
                  <c:v>80.7</c:v>
                </c:pt>
                <c:pt idx="6">
                  <c:v>80.099999999999994</c:v>
                </c:pt>
                <c:pt idx="7">
                  <c:v>88.1</c:v>
                </c:pt>
                <c:pt idx="8">
                  <c:v>105.6</c:v>
                </c:pt>
                <c:pt idx="9">
                  <c:v>127.4</c:v>
                </c:pt>
                <c:pt idx="10">
                  <c:v>131.1</c:v>
                </c:pt>
                <c:pt idx="11">
                  <c:v>135.1</c:v>
                </c:pt>
              </c:numCache>
            </c:numRef>
          </c:val>
        </c:ser>
        <c:marker val="1"/>
        <c:axId val="141885440"/>
        <c:axId val="141887744"/>
      </c:lineChart>
      <c:catAx>
        <c:axId val="141885440"/>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layout>
            <c:manualLayout>
              <c:xMode val="edge"/>
              <c:yMode val="edge"/>
              <c:x val="0.50879897816609465"/>
              <c:y val="0.71107317381147794"/>
            </c:manualLayout>
          </c:layout>
        </c:title>
        <c:numFmt formatCode="General" sourceLinked="1"/>
        <c:majorTickMark val="none"/>
        <c:minorTickMark val="out"/>
        <c:tickLblPos val="nextTo"/>
        <c:spPr>
          <a:ln>
            <a:solidFill>
              <a:schemeClr val="tx1"/>
            </a:solidFill>
          </a:ln>
        </c:spPr>
        <c:txPr>
          <a:bodyPr rot="-5400000" vert="horz"/>
          <a:lstStyle/>
          <a:p>
            <a:pPr>
              <a:defRPr sz="800">
                <a:latin typeface="Times New Roman" pitchFamily="18" charset="0"/>
                <a:cs typeface="Times New Roman" pitchFamily="18" charset="0"/>
              </a:defRPr>
            </a:pPr>
            <a:endParaRPr lang="pt-BR"/>
          </a:p>
        </c:txPr>
        <c:crossAx val="141887744"/>
        <c:crosses val="autoZero"/>
        <c:auto val="1"/>
        <c:lblAlgn val="ctr"/>
        <c:lblOffset val="100"/>
      </c:catAx>
      <c:valAx>
        <c:axId val="141887744"/>
        <c:scaling>
          <c:orientation val="minMax"/>
          <c:max val="210"/>
          <c:min val="50"/>
        </c:scaling>
        <c:axPos val="l"/>
        <c:title>
          <c:tx>
            <c:rich>
              <a:bodyPr/>
              <a:lstStyle/>
              <a:p>
                <a:pPr>
                  <a:defRPr sz="800" b="1" i="0" u="none" strike="noStrike" baseline="0">
                    <a:solidFill>
                      <a:srgbClr val="000000"/>
                    </a:solidFill>
                    <a:latin typeface="Times New Roman"/>
                    <a:ea typeface="Times New Roman"/>
                    <a:cs typeface="Times New Roman"/>
                  </a:defRPr>
                </a:pPr>
                <a:r>
                  <a:rPr lang="pt-BR" sz="800" b="1" i="0" u="none" strike="noStrike" baseline="0"/>
                  <a:t>PET (mm month</a:t>
                </a:r>
                <a:r>
                  <a:rPr lang="pt-BR" sz="800" b="1" i="0" u="none" strike="noStrike" baseline="30000"/>
                  <a:t>-1</a:t>
                </a:r>
                <a:r>
                  <a:rPr lang="pt-BR" sz="800"/>
                  <a:t>)     </a:t>
                </a:r>
              </a:p>
            </c:rich>
          </c:tx>
          <c:spPr>
            <a:noFill/>
            <a:ln w="25400">
              <a:noFill/>
            </a:ln>
          </c:spPr>
        </c:title>
        <c:numFmt formatCode="General" sourceLinked="1"/>
        <c:tickLblPos val="nextTo"/>
        <c:spPr>
          <a:ln>
            <a:solidFill>
              <a:schemeClr val="tx1"/>
            </a:solidFill>
          </a:ln>
        </c:spPr>
        <c:txPr>
          <a:bodyPr rot="0" vert="horz"/>
          <a:lstStyle/>
          <a:p>
            <a:pPr>
              <a:defRPr sz="800" b="0" i="0" u="none" strike="noStrike" baseline="0">
                <a:solidFill>
                  <a:srgbClr val="000000"/>
                </a:solidFill>
                <a:latin typeface="Times New Roman"/>
                <a:ea typeface="Times New Roman"/>
                <a:cs typeface="Times New Roman"/>
              </a:defRPr>
            </a:pPr>
            <a:endParaRPr lang="pt-BR"/>
          </a:p>
        </c:txPr>
        <c:crossAx val="141885440"/>
        <c:crosses val="autoZero"/>
        <c:crossBetween val="between"/>
        <c:majorUnit val="20"/>
      </c:valAx>
    </c:plotArea>
    <c:legend>
      <c:legendPos val="r"/>
      <c:layout>
        <c:manualLayout>
          <c:xMode val="edge"/>
          <c:yMode val="edge"/>
          <c:x val="4.8852657729933678E-4"/>
          <c:y val="0.81087189847844521"/>
          <c:w val="0.97543273785335227"/>
          <c:h val="0.1874719363596187"/>
        </c:manualLayout>
      </c:layout>
      <c:txPr>
        <a:bodyPr/>
        <a:lstStyle/>
        <a:p>
          <a:pPr>
            <a:defRPr sz="600">
              <a:latin typeface="Times New Roman" pitchFamily="18" charset="0"/>
              <a:cs typeface="Times New Roman" pitchFamily="18" charset="0"/>
            </a:defRPr>
          </a:pPr>
          <a:endParaRPr lang="pt-BR"/>
        </a:p>
      </c:txPr>
    </c:legend>
    <c:plotVisOnly val="1"/>
    <c:dispBlanksAs val="gap"/>
  </c:chart>
  <c:spPr>
    <a:solidFill>
      <a:srgbClr val="FFFFFF"/>
    </a:solidFill>
    <a:ln w="3175">
      <a:noFill/>
      <a:prstDash val="solid"/>
    </a:ln>
  </c:sp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lang val="pt-BR"/>
  <c:chart>
    <c:plotArea>
      <c:layout>
        <c:manualLayout>
          <c:layoutTarget val="inner"/>
          <c:xMode val="edge"/>
          <c:yMode val="edge"/>
          <c:x val="0.13634859201921792"/>
          <c:y val="5.3402569363133333E-2"/>
          <c:w val="0.81753446073478109"/>
          <c:h val="0.51020342193320256"/>
        </c:manualLayout>
      </c:layout>
      <c:lineChart>
        <c:grouping val="standard"/>
        <c:ser>
          <c:idx val="0"/>
          <c:order val="0"/>
          <c:tx>
            <c:v>Pau Ferro</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Francisco'!$B$2:$M$2</c:f>
              <c:numCache>
                <c:formatCode>General</c:formatCode>
                <c:ptCount val="12"/>
                <c:pt idx="0">
                  <c:v>148.1</c:v>
                </c:pt>
                <c:pt idx="1">
                  <c:v>132</c:v>
                </c:pt>
                <c:pt idx="2">
                  <c:v>143.1</c:v>
                </c:pt>
                <c:pt idx="3">
                  <c:v>119.9</c:v>
                </c:pt>
                <c:pt idx="4">
                  <c:v>104.5</c:v>
                </c:pt>
                <c:pt idx="5">
                  <c:v>88.1</c:v>
                </c:pt>
                <c:pt idx="6">
                  <c:v>81.2</c:v>
                </c:pt>
                <c:pt idx="7">
                  <c:v>91.3</c:v>
                </c:pt>
                <c:pt idx="8">
                  <c:v>118.3</c:v>
                </c:pt>
                <c:pt idx="9">
                  <c:v>154.4</c:v>
                </c:pt>
                <c:pt idx="10">
                  <c:v>151.9</c:v>
                </c:pt>
                <c:pt idx="11">
                  <c:v>148.6</c:v>
                </c:pt>
              </c:numCache>
            </c:numRef>
          </c:val>
        </c:ser>
        <c:ser>
          <c:idx val="1"/>
          <c:order val="1"/>
          <c:tx>
            <c:v>Jutaí</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Francisco'!$B$3:$M$3</c:f>
              <c:numCache>
                <c:formatCode>General</c:formatCode>
                <c:ptCount val="12"/>
                <c:pt idx="0">
                  <c:v>151.30000000000001</c:v>
                </c:pt>
                <c:pt idx="1">
                  <c:v>131.6</c:v>
                </c:pt>
                <c:pt idx="2">
                  <c:v>143.1</c:v>
                </c:pt>
                <c:pt idx="3">
                  <c:v>120.8</c:v>
                </c:pt>
                <c:pt idx="4">
                  <c:v>108.2</c:v>
                </c:pt>
                <c:pt idx="5">
                  <c:v>92.4</c:v>
                </c:pt>
                <c:pt idx="6">
                  <c:v>87.4</c:v>
                </c:pt>
                <c:pt idx="7">
                  <c:v>100.2</c:v>
                </c:pt>
                <c:pt idx="8">
                  <c:v>125.9</c:v>
                </c:pt>
                <c:pt idx="9">
                  <c:v>154.4</c:v>
                </c:pt>
                <c:pt idx="10">
                  <c:v>155</c:v>
                </c:pt>
                <c:pt idx="11">
                  <c:v>155</c:v>
                </c:pt>
              </c:numCache>
            </c:numRef>
          </c:val>
        </c:ser>
        <c:ser>
          <c:idx val="2"/>
          <c:order val="2"/>
          <c:tx>
            <c:v>Lagoa Grande</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Francisco'!$B$4:$M$4</c:f>
              <c:numCache>
                <c:formatCode>General</c:formatCode>
                <c:ptCount val="12"/>
                <c:pt idx="0">
                  <c:v>151.30000000000001</c:v>
                </c:pt>
                <c:pt idx="1">
                  <c:v>134.9</c:v>
                </c:pt>
                <c:pt idx="2">
                  <c:v>143.1</c:v>
                </c:pt>
                <c:pt idx="3">
                  <c:v>122.9</c:v>
                </c:pt>
                <c:pt idx="4">
                  <c:v>106.9</c:v>
                </c:pt>
                <c:pt idx="5">
                  <c:v>90.1</c:v>
                </c:pt>
                <c:pt idx="6">
                  <c:v>83</c:v>
                </c:pt>
                <c:pt idx="7">
                  <c:v>93.4</c:v>
                </c:pt>
                <c:pt idx="8">
                  <c:v>119.6</c:v>
                </c:pt>
                <c:pt idx="9">
                  <c:v>154.4</c:v>
                </c:pt>
                <c:pt idx="10">
                  <c:v>151.9</c:v>
                </c:pt>
                <c:pt idx="11">
                  <c:v>148.6</c:v>
                </c:pt>
              </c:numCache>
            </c:numRef>
          </c:val>
        </c:ser>
        <c:ser>
          <c:idx val="3"/>
          <c:order val="3"/>
          <c:tx>
            <c:v>Petrolina</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Francisco'!$B$5:$M$5</c:f>
              <c:numCache>
                <c:formatCode>General</c:formatCode>
                <c:ptCount val="12"/>
                <c:pt idx="0">
                  <c:v>151.80000000000001</c:v>
                </c:pt>
                <c:pt idx="1">
                  <c:v>137.80000000000001</c:v>
                </c:pt>
                <c:pt idx="2">
                  <c:v>146.6</c:v>
                </c:pt>
                <c:pt idx="3">
                  <c:v>124.6</c:v>
                </c:pt>
                <c:pt idx="4">
                  <c:v>111.5</c:v>
                </c:pt>
                <c:pt idx="5">
                  <c:v>95.2</c:v>
                </c:pt>
                <c:pt idx="6">
                  <c:v>84</c:v>
                </c:pt>
                <c:pt idx="7">
                  <c:v>94.8</c:v>
                </c:pt>
                <c:pt idx="8">
                  <c:v>116.3</c:v>
                </c:pt>
                <c:pt idx="9">
                  <c:v>151.69999999999999</c:v>
                </c:pt>
                <c:pt idx="10">
                  <c:v>149.30000000000001</c:v>
                </c:pt>
                <c:pt idx="11">
                  <c:v>140.6</c:v>
                </c:pt>
              </c:numCache>
            </c:numRef>
          </c:val>
        </c:ser>
        <c:ser>
          <c:idx val="4"/>
          <c:order val="4"/>
          <c:tx>
            <c:v>Orocó</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Francisco'!$B$6:$M$6</c:f>
              <c:numCache>
                <c:formatCode>General</c:formatCode>
                <c:ptCount val="12"/>
                <c:pt idx="0">
                  <c:v>151.30000000000001</c:v>
                </c:pt>
                <c:pt idx="1">
                  <c:v>131.6</c:v>
                </c:pt>
                <c:pt idx="2">
                  <c:v>140</c:v>
                </c:pt>
                <c:pt idx="3">
                  <c:v>121.1</c:v>
                </c:pt>
                <c:pt idx="4">
                  <c:v>108.7</c:v>
                </c:pt>
                <c:pt idx="5">
                  <c:v>91.6</c:v>
                </c:pt>
                <c:pt idx="6">
                  <c:v>86.6</c:v>
                </c:pt>
                <c:pt idx="7">
                  <c:v>97.8</c:v>
                </c:pt>
                <c:pt idx="8">
                  <c:v>122.8</c:v>
                </c:pt>
                <c:pt idx="9">
                  <c:v>151.19999999999999</c:v>
                </c:pt>
                <c:pt idx="10">
                  <c:v>151.9</c:v>
                </c:pt>
                <c:pt idx="11">
                  <c:v>155</c:v>
                </c:pt>
              </c:numCache>
            </c:numRef>
          </c:val>
        </c:ser>
        <c:ser>
          <c:idx val="5"/>
          <c:order val="5"/>
          <c:tx>
            <c:v>Cabrobó</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Francisco'!$B$7:$M$7</c:f>
              <c:numCache>
                <c:formatCode>General</c:formatCode>
                <c:ptCount val="12"/>
                <c:pt idx="0">
                  <c:v>150.9</c:v>
                </c:pt>
                <c:pt idx="1">
                  <c:v>131.6</c:v>
                </c:pt>
                <c:pt idx="2">
                  <c:v>143.1</c:v>
                </c:pt>
                <c:pt idx="3">
                  <c:v>124.1</c:v>
                </c:pt>
                <c:pt idx="4">
                  <c:v>111.2</c:v>
                </c:pt>
                <c:pt idx="5">
                  <c:v>95</c:v>
                </c:pt>
                <c:pt idx="6">
                  <c:v>89.9</c:v>
                </c:pt>
                <c:pt idx="7">
                  <c:v>101.5</c:v>
                </c:pt>
                <c:pt idx="8">
                  <c:v>124.1</c:v>
                </c:pt>
                <c:pt idx="9">
                  <c:v>151.19999999999999</c:v>
                </c:pt>
                <c:pt idx="10">
                  <c:v>155</c:v>
                </c:pt>
                <c:pt idx="11">
                  <c:v>158.30000000000001</c:v>
                </c:pt>
              </c:numCache>
            </c:numRef>
          </c:val>
        </c:ser>
        <c:ser>
          <c:idx val="6"/>
          <c:order val="6"/>
          <c:tx>
            <c:v>Petrolândia</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Francisco'!$B$8:$M$8</c:f>
              <c:numCache>
                <c:formatCode>General</c:formatCode>
                <c:ptCount val="12"/>
                <c:pt idx="0">
                  <c:v>154.6</c:v>
                </c:pt>
                <c:pt idx="1">
                  <c:v>134.9</c:v>
                </c:pt>
                <c:pt idx="2">
                  <c:v>143.1</c:v>
                </c:pt>
                <c:pt idx="3">
                  <c:v>129.30000000000001</c:v>
                </c:pt>
                <c:pt idx="4">
                  <c:v>112.8</c:v>
                </c:pt>
                <c:pt idx="5">
                  <c:v>93.3</c:v>
                </c:pt>
                <c:pt idx="6">
                  <c:v>88.6</c:v>
                </c:pt>
                <c:pt idx="7">
                  <c:v>98.2</c:v>
                </c:pt>
                <c:pt idx="8">
                  <c:v>119</c:v>
                </c:pt>
                <c:pt idx="9">
                  <c:v>151.19999999999999</c:v>
                </c:pt>
                <c:pt idx="10">
                  <c:v>151.9</c:v>
                </c:pt>
                <c:pt idx="11">
                  <c:v>155</c:v>
                </c:pt>
              </c:numCache>
            </c:numRef>
          </c:val>
        </c:ser>
        <c:ser>
          <c:idx val="7"/>
          <c:order val="7"/>
          <c:tx>
            <c:v>Floresta</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Francisco'!$B$9:$M$9</c:f>
              <c:numCache>
                <c:formatCode>General</c:formatCode>
                <c:ptCount val="12"/>
                <c:pt idx="0">
                  <c:v>161</c:v>
                </c:pt>
                <c:pt idx="1">
                  <c:v>137.30000000000001</c:v>
                </c:pt>
                <c:pt idx="2">
                  <c:v>146.19999999999999</c:v>
                </c:pt>
                <c:pt idx="3">
                  <c:v>135.69999999999999</c:v>
                </c:pt>
                <c:pt idx="4">
                  <c:v>111.9</c:v>
                </c:pt>
                <c:pt idx="5">
                  <c:v>87.1</c:v>
                </c:pt>
                <c:pt idx="6">
                  <c:v>79.5</c:v>
                </c:pt>
                <c:pt idx="7">
                  <c:v>93</c:v>
                </c:pt>
                <c:pt idx="8">
                  <c:v>123.4</c:v>
                </c:pt>
                <c:pt idx="9">
                  <c:v>154.4</c:v>
                </c:pt>
                <c:pt idx="10">
                  <c:v>158.1</c:v>
                </c:pt>
                <c:pt idx="11">
                  <c:v>161.5</c:v>
                </c:pt>
              </c:numCache>
            </c:numRef>
          </c:val>
        </c:ser>
        <c:ser>
          <c:idx val="8"/>
          <c:order val="8"/>
          <c:tx>
            <c:v>Tacaratu</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Francisco'!$B$10:$M$10</c:f>
              <c:numCache>
                <c:formatCode>General</c:formatCode>
                <c:ptCount val="12"/>
                <c:pt idx="0">
                  <c:v>126.7</c:v>
                </c:pt>
                <c:pt idx="1">
                  <c:v>111.6</c:v>
                </c:pt>
                <c:pt idx="2">
                  <c:v>117.1</c:v>
                </c:pt>
                <c:pt idx="3">
                  <c:v>105.6</c:v>
                </c:pt>
                <c:pt idx="4">
                  <c:v>92.4</c:v>
                </c:pt>
                <c:pt idx="5">
                  <c:v>75.900000000000006</c:v>
                </c:pt>
                <c:pt idx="6">
                  <c:v>69.8</c:v>
                </c:pt>
                <c:pt idx="7">
                  <c:v>73.7</c:v>
                </c:pt>
                <c:pt idx="8">
                  <c:v>90.1</c:v>
                </c:pt>
                <c:pt idx="9">
                  <c:v>115.5</c:v>
                </c:pt>
                <c:pt idx="10">
                  <c:v>122.3</c:v>
                </c:pt>
                <c:pt idx="11">
                  <c:v>127.5</c:v>
                </c:pt>
              </c:numCache>
            </c:numRef>
          </c:val>
        </c:ser>
        <c:marker val="1"/>
        <c:axId val="141959168"/>
        <c:axId val="141961472"/>
      </c:lineChart>
      <c:catAx>
        <c:axId val="141959168"/>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layout>
            <c:manualLayout>
              <c:xMode val="edge"/>
              <c:yMode val="edge"/>
              <c:x val="0.45425135392951949"/>
              <c:y val="0.7278227160805647"/>
            </c:manualLayout>
          </c:layout>
          <c:spPr>
            <a:ln w="3175"/>
          </c:spPr>
        </c:title>
        <c:numFmt formatCode="General" sourceLinked="1"/>
        <c:majorTickMark val="none"/>
        <c:minorTickMark val="out"/>
        <c:tickLblPos val="nextTo"/>
        <c:spPr>
          <a:ln w="6350">
            <a:solidFill>
              <a:sysClr val="windowText" lastClr="000000"/>
            </a:solidFill>
          </a:ln>
        </c:spPr>
        <c:txPr>
          <a:bodyPr rot="-5400000" vert="horz"/>
          <a:lstStyle/>
          <a:p>
            <a:pPr>
              <a:defRPr sz="800">
                <a:latin typeface="Times New Roman" pitchFamily="18" charset="0"/>
                <a:cs typeface="Times New Roman" pitchFamily="18" charset="0"/>
              </a:defRPr>
            </a:pPr>
            <a:endParaRPr lang="pt-BR"/>
          </a:p>
        </c:txPr>
        <c:crossAx val="141961472"/>
        <c:crosses val="autoZero"/>
        <c:auto val="1"/>
        <c:lblAlgn val="ctr"/>
        <c:lblOffset val="100"/>
      </c:catAx>
      <c:valAx>
        <c:axId val="141961472"/>
        <c:scaling>
          <c:orientation val="minMax"/>
          <c:max val="210"/>
          <c:min val="50"/>
        </c:scaling>
        <c:axPos val="l"/>
        <c:numFmt formatCode="General" sourceLinked="1"/>
        <c:tickLblPos val="nextTo"/>
        <c:spPr>
          <a:ln w="6350">
            <a:solidFill>
              <a:sysClr val="windowText" lastClr="000000"/>
            </a:solidFill>
          </a:ln>
        </c:spPr>
        <c:txPr>
          <a:bodyPr/>
          <a:lstStyle/>
          <a:p>
            <a:pPr>
              <a:defRPr sz="800">
                <a:latin typeface="Times New Roman" pitchFamily="18" charset="0"/>
                <a:cs typeface="Times New Roman" pitchFamily="18" charset="0"/>
              </a:defRPr>
            </a:pPr>
            <a:endParaRPr lang="pt-BR"/>
          </a:p>
        </c:txPr>
        <c:crossAx val="141959168"/>
        <c:crosses val="autoZero"/>
        <c:crossBetween val="between"/>
        <c:majorUnit val="20"/>
      </c:valAx>
    </c:plotArea>
    <c:legend>
      <c:legendPos val="r"/>
      <c:layout>
        <c:manualLayout>
          <c:xMode val="edge"/>
          <c:yMode val="edge"/>
          <c:x val="0"/>
          <c:y val="0.84865711219143025"/>
          <c:w val="0.99482528593966257"/>
          <c:h val="0.15134288780857391"/>
        </c:manualLayout>
      </c:layout>
      <c:txPr>
        <a:bodyPr/>
        <a:lstStyle/>
        <a:p>
          <a:pPr>
            <a:defRPr sz="600" b="0" i="0" u="none" strike="noStrike" baseline="0">
              <a:solidFill>
                <a:srgbClr val="000000"/>
              </a:solidFill>
              <a:latin typeface="Times New Roman" pitchFamily="18" charset="0"/>
              <a:ea typeface="Times New Roman"/>
              <a:cs typeface="Times New Roman" pitchFamily="18" charset="0"/>
            </a:defRPr>
          </a:pPr>
          <a:endParaRPr lang="pt-BR"/>
        </a:p>
      </c:txPr>
    </c:legend>
    <c:plotVisOnly val="1"/>
    <c:dispBlanksAs val="gap"/>
  </c:chart>
  <c:spPr>
    <a:solidFill>
      <a:srgbClr val="FFFFFF"/>
    </a:solidFill>
    <a:ln w="3175">
      <a:noFill/>
      <a:prstDash val="solid"/>
    </a:ln>
  </c:sp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lang val="pt-BR"/>
  <c:chart>
    <c:autoTitleDeleted val="1"/>
    <c:plotArea>
      <c:layout>
        <c:manualLayout>
          <c:layoutTarget val="inner"/>
          <c:xMode val="edge"/>
          <c:yMode val="edge"/>
          <c:x val="0.15657631738340425"/>
          <c:y val="4.5855830406966995E-2"/>
          <c:w val="0.80623145063597934"/>
          <c:h val="0.53051507936507969"/>
        </c:manualLayout>
      </c:layout>
      <c:barChart>
        <c:barDir val="col"/>
        <c:grouping val="clustered"/>
        <c:ser>
          <c:idx val="0"/>
          <c:order val="0"/>
          <c:tx>
            <c:v>Bezerros</c:v>
          </c:tx>
          <c:spPr>
            <a:ln>
              <a:solidFill>
                <a:sysClr val="windowText" lastClr="000000"/>
              </a:solidFill>
            </a:ln>
          </c:spPr>
          <c:cat>
            <c:strRef>
              <c:f>'zona da mata'!$B$1:$M$1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mata'!$B$2:$M$2</c:f>
              <c:numCache>
                <c:formatCode>General</c:formatCode>
                <c:ptCount val="12"/>
                <c:pt idx="0">
                  <c:v>84</c:v>
                </c:pt>
                <c:pt idx="1">
                  <c:v>155</c:v>
                </c:pt>
                <c:pt idx="2">
                  <c:v>192</c:v>
                </c:pt>
                <c:pt idx="3">
                  <c:v>208</c:v>
                </c:pt>
                <c:pt idx="4">
                  <c:v>218</c:v>
                </c:pt>
                <c:pt idx="5">
                  <c:v>235</c:v>
                </c:pt>
                <c:pt idx="6">
                  <c:v>216</c:v>
                </c:pt>
                <c:pt idx="7">
                  <c:v>136</c:v>
                </c:pt>
                <c:pt idx="8">
                  <c:v>118</c:v>
                </c:pt>
                <c:pt idx="9">
                  <c:v>47</c:v>
                </c:pt>
                <c:pt idx="10">
                  <c:v>54</c:v>
                </c:pt>
                <c:pt idx="11">
                  <c:v>109</c:v>
                </c:pt>
              </c:numCache>
            </c:numRef>
          </c:val>
        </c:ser>
        <c:ser>
          <c:idx val="1"/>
          <c:order val="1"/>
          <c:tx>
            <c:v>Cortês</c:v>
          </c:tx>
          <c:spPr>
            <a:ln>
              <a:solidFill>
                <a:sysClr val="windowText" lastClr="000000"/>
              </a:solidFill>
            </a:ln>
          </c:spPr>
          <c:val>
            <c:numRef>
              <c:f>'zona da mata'!$B$3:$M$3</c:f>
              <c:numCache>
                <c:formatCode>General</c:formatCode>
                <c:ptCount val="12"/>
                <c:pt idx="0">
                  <c:v>91</c:v>
                </c:pt>
                <c:pt idx="1">
                  <c:v>55</c:v>
                </c:pt>
                <c:pt idx="2">
                  <c:v>196</c:v>
                </c:pt>
                <c:pt idx="3">
                  <c:v>129</c:v>
                </c:pt>
                <c:pt idx="4">
                  <c:v>247</c:v>
                </c:pt>
                <c:pt idx="5">
                  <c:v>172</c:v>
                </c:pt>
                <c:pt idx="6">
                  <c:v>221</c:v>
                </c:pt>
                <c:pt idx="7">
                  <c:v>132</c:v>
                </c:pt>
                <c:pt idx="8">
                  <c:v>81</c:v>
                </c:pt>
                <c:pt idx="9">
                  <c:v>61</c:v>
                </c:pt>
                <c:pt idx="10">
                  <c:v>17</c:v>
                </c:pt>
                <c:pt idx="11">
                  <c:v>44</c:v>
                </c:pt>
              </c:numCache>
            </c:numRef>
          </c:val>
        </c:ser>
        <c:ser>
          <c:idx val="2"/>
          <c:order val="2"/>
          <c:tx>
            <c:v>Escada</c:v>
          </c:tx>
          <c:spPr>
            <a:ln>
              <a:solidFill>
                <a:sysClr val="windowText" lastClr="000000"/>
              </a:solidFill>
            </a:ln>
          </c:spPr>
          <c:val>
            <c:numRef>
              <c:f>'zona da mata'!$B$4:$M$4</c:f>
              <c:numCache>
                <c:formatCode>General</c:formatCode>
                <c:ptCount val="12"/>
                <c:pt idx="0">
                  <c:v>69</c:v>
                </c:pt>
                <c:pt idx="1">
                  <c:v>90</c:v>
                </c:pt>
                <c:pt idx="2">
                  <c:v>165</c:v>
                </c:pt>
                <c:pt idx="3">
                  <c:v>205</c:v>
                </c:pt>
                <c:pt idx="4">
                  <c:v>256</c:v>
                </c:pt>
                <c:pt idx="5">
                  <c:v>247</c:v>
                </c:pt>
                <c:pt idx="6">
                  <c:v>211</c:v>
                </c:pt>
                <c:pt idx="7">
                  <c:v>145</c:v>
                </c:pt>
                <c:pt idx="8">
                  <c:v>74</c:v>
                </c:pt>
                <c:pt idx="9">
                  <c:v>45</c:v>
                </c:pt>
                <c:pt idx="10">
                  <c:v>48</c:v>
                </c:pt>
                <c:pt idx="11">
                  <c:v>53</c:v>
                </c:pt>
              </c:numCache>
            </c:numRef>
          </c:val>
        </c:ser>
        <c:ser>
          <c:idx val="3"/>
          <c:order val="3"/>
          <c:tx>
            <c:v>Gameleira</c:v>
          </c:tx>
          <c:spPr>
            <a:ln>
              <a:solidFill>
                <a:sysClr val="windowText" lastClr="000000"/>
              </a:solidFill>
            </a:ln>
          </c:spPr>
          <c:val>
            <c:numRef>
              <c:f>'zona da mata'!$B$5:$M$5</c:f>
              <c:numCache>
                <c:formatCode>General</c:formatCode>
                <c:ptCount val="12"/>
                <c:pt idx="0">
                  <c:v>129</c:v>
                </c:pt>
                <c:pt idx="1">
                  <c:v>92</c:v>
                </c:pt>
                <c:pt idx="2">
                  <c:v>166</c:v>
                </c:pt>
                <c:pt idx="3">
                  <c:v>238</c:v>
                </c:pt>
                <c:pt idx="4">
                  <c:v>191</c:v>
                </c:pt>
                <c:pt idx="5">
                  <c:v>285</c:v>
                </c:pt>
                <c:pt idx="6">
                  <c:v>190</c:v>
                </c:pt>
                <c:pt idx="7">
                  <c:v>157</c:v>
                </c:pt>
                <c:pt idx="8">
                  <c:v>91</c:v>
                </c:pt>
                <c:pt idx="9">
                  <c:v>74</c:v>
                </c:pt>
                <c:pt idx="10">
                  <c:v>56</c:v>
                </c:pt>
                <c:pt idx="11">
                  <c:v>77</c:v>
                </c:pt>
              </c:numCache>
            </c:numRef>
          </c:val>
        </c:ser>
        <c:ser>
          <c:idx val="4"/>
          <c:order val="4"/>
          <c:tx>
            <c:v>Palmares</c:v>
          </c:tx>
          <c:spPr>
            <a:ln>
              <a:solidFill>
                <a:sysClr val="windowText" lastClr="000000"/>
              </a:solidFill>
            </a:ln>
          </c:spPr>
          <c:val>
            <c:numRef>
              <c:f>'zona da mata'!$B$6:$M$6</c:f>
              <c:numCache>
                <c:formatCode>General</c:formatCode>
                <c:ptCount val="12"/>
                <c:pt idx="0">
                  <c:v>57</c:v>
                </c:pt>
                <c:pt idx="1">
                  <c:v>93</c:v>
                </c:pt>
                <c:pt idx="2">
                  <c:v>161</c:v>
                </c:pt>
                <c:pt idx="3">
                  <c:v>144</c:v>
                </c:pt>
                <c:pt idx="4">
                  <c:v>134</c:v>
                </c:pt>
                <c:pt idx="5">
                  <c:v>157</c:v>
                </c:pt>
                <c:pt idx="6">
                  <c:v>160</c:v>
                </c:pt>
                <c:pt idx="7">
                  <c:v>118</c:v>
                </c:pt>
                <c:pt idx="8">
                  <c:v>55</c:v>
                </c:pt>
                <c:pt idx="9">
                  <c:v>43</c:v>
                </c:pt>
                <c:pt idx="10">
                  <c:v>47</c:v>
                </c:pt>
                <c:pt idx="11">
                  <c:v>50</c:v>
                </c:pt>
              </c:numCache>
            </c:numRef>
          </c:val>
        </c:ser>
        <c:ser>
          <c:idx val="5"/>
          <c:order val="5"/>
          <c:tx>
            <c:v>Primavera</c:v>
          </c:tx>
          <c:spPr>
            <a:ln>
              <a:solidFill>
                <a:sysClr val="windowText" lastClr="000000"/>
              </a:solidFill>
            </a:ln>
          </c:spPr>
          <c:val>
            <c:numRef>
              <c:f>'zona da mata'!$B$7:$M$7</c:f>
              <c:numCache>
                <c:formatCode>General</c:formatCode>
                <c:ptCount val="12"/>
                <c:pt idx="0">
                  <c:v>92</c:v>
                </c:pt>
                <c:pt idx="1">
                  <c:v>123</c:v>
                </c:pt>
                <c:pt idx="2">
                  <c:v>221</c:v>
                </c:pt>
                <c:pt idx="3">
                  <c:v>232</c:v>
                </c:pt>
                <c:pt idx="4">
                  <c:v>261</c:v>
                </c:pt>
                <c:pt idx="5">
                  <c:v>303</c:v>
                </c:pt>
                <c:pt idx="6">
                  <c:v>315</c:v>
                </c:pt>
                <c:pt idx="7">
                  <c:v>188</c:v>
                </c:pt>
                <c:pt idx="8">
                  <c:v>126</c:v>
                </c:pt>
                <c:pt idx="9">
                  <c:v>56</c:v>
                </c:pt>
                <c:pt idx="10">
                  <c:v>41</c:v>
                </c:pt>
                <c:pt idx="11">
                  <c:v>62</c:v>
                </c:pt>
              </c:numCache>
            </c:numRef>
          </c:val>
        </c:ser>
        <c:ser>
          <c:idx val="6"/>
          <c:order val="6"/>
          <c:tx>
            <c:v>Rio Formoso</c:v>
          </c:tx>
          <c:spPr>
            <a:ln>
              <a:solidFill>
                <a:sysClr val="windowText" lastClr="000000"/>
              </a:solidFill>
            </a:ln>
          </c:spPr>
          <c:val>
            <c:numRef>
              <c:f>'zona da mata'!$B$8:$M$8</c:f>
              <c:numCache>
                <c:formatCode>General</c:formatCode>
                <c:ptCount val="12"/>
                <c:pt idx="0">
                  <c:v>81</c:v>
                </c:pt>
                <c:pt idx="1">
                  <c:v>119</c:v>
                </c:pt>
                <c:pt idx="2">
                  <c:v>251</c:v>
                </c:pt>
                <c:pt idx="3">
                  <c:v>223</c:v>
                </c:pt>
                <c:pt idx="4">
                  <c:v>241</c:v>
                </c:pt>
                <c:pt idx="5">
                  <c:v>241</c:v>
                </c:pt>
                <c:pt idx="6">
                  <c:v>253</c:v>
                </c:pt>
                <c:pt idx="7">
                  <c:v>194</c:v>
                </c:pt>
                <c:pt idx="8">
                  <c:v>107</c:v>
                </c:pt>
                <c:pt idx="9">
                  <c:v>61</c:v>
                </c:pt>
                <c:pt idx="10">
                  <c:v>40</c:v>
                </c:pt>
                <c:pt idx="11">
                  <c:v>69</c:v>
                </c:pt>
              </c:numCache>
            </c:numRef>
          </c:val>
        </c:ser>
        <c:ser>
          <c:idx val="7"/>
          <c:order val="7"/>
          <c:tx>
            <c:v>Buenos Aires</c:v>
          </c:tx>
          <c:spPr>
            <a:ln>
              <a:solidFill>
                <a:sysClr val="windowText" lastClr="000000"/>
              </a:solidFill>
            </a:ln>
          </c:spPr>
          <c:val>
            <c:numRef>
              <c:f>'zona da mata'!$B$9:$M$9</c:f>
              <c:numCache>
                <c:formatCode>General</c:formatCode>
                <c:ptCount val="12"/>
                <c:pt idx="0">
                  <c:v>50</c:v>
                </c:pt>
                <c:pt idx="1">
                  <c:v>73</c:v>
                </c:pt>
                <c:pt idx="2">
                  <c:v>180</c:v>
                </c:pt>
                <c:pt idx="3">
                  <c:v>82</c:v>
                </c:pt>
                <c:pt idx="4">
                  <c:v>86</c:v>
                </c:pt>
                <c:pt idx="5">
                  <c:v>88</c:v>
                </c:pt>
                <c:pt idx="6">
                  <c:v>92</c:v>
                </c:pt>
                <c:pt idx="7">
                  <c:v>42</c:v>
                </c:pt>
                <c:pt idx="8">
                  <c:v>36</c:v>
                </c:pt>
                <c:pt idx="9">
                  <c:v>28</c:v>
                </c:pt>
                <c:pt idx="10">
                  <c:v>35</c:v>
                </c:pt>
                <c:pt idx="11">
                  <c:v>29</c:v>
                </c:pt>
              </c:numCache>
            </c:numRef>
          </c:val>
        </c:ser>
        <c:ser>
          <c:idx val="8"/>
          <c:order val="8"/>
          <c:tx>
            <c:v>Carpina</c:v>
          </c:tx>
          <c:val>
            <c:numRef>
              <c:f>'zona da mata'!$B$10:$M$10</c:f>
              <c:numCache>
                <c:formatCode>General</c:formatCode>
                <c:ptCount val="12"/>
                <c:pt idx="0">
                  <c:v>26</c:v>
                </c:pt>
                <c:pt idx="1">
                  <c:v>25</c:v>
                </c:pt>
                <c:pt idx="2">
                  <c:v>65</c:v>
                </c:pt>
                <c:pt idx="3">
                  <c:v>53</c:v>
                </c:pt>
                <c:pt idx="4">
                  <c:v>88</c:v>
                </c:pt>
                <c:pt idx="5">
                  <c:v>80</c:v>
                </c:pt>
                <c:pt idx="6">
                  <c:v>88</c:v>
                </c:pt>
                <c:pt idx="7">
                  <c:v>51</c:v>
                </c:pt>
                <c:pt idx="8">
                  <c:v>12</c:v>
                </c:pt>
                <c:pt idx="9">
                  <c:v>11</c:v>
                </c:pt>
                <c:pt idx="10">
                  <c:v>13</c:v>
                </c:pt>
                <c:pt idx="11">
                  <c:v>22</c:v>
                </c:pt>
              </c:numCache>
            </c:numRef>
          </c:val>
        </c:ser>
        <c:ser>
          <c:idx val="9"/>
          <c:order val="9"/>
          <c:tx>
            <c:v>Matari </c:v>
          </c:tx>
          <c:spPr>
            <a:ln>
              <a:solidFill>
                <a:sysClr val="windowText" lastClr="000000"/>
              </a:solidFill>
            </a:ln>
          </c:spPr>
          <c:val>
            <c:numRef>
              <c:f>'zona da mata'!$B$11:$M$11</c:f>
              <c:numCache>
                <c:formatCode>General</c:formatCode>
                <c:ptCount val="12"/>
                <c:pt idx="0">
                  <c:v>95</c:v>
                </c:pt>
                <c:pt idx="1">
                  <c:v>62</c:v>
                </c:pt>
                <c:pt idx="2">
                  <c:v>165</c:v>
                </c:pt>
                <c:pt idx="3">
                  <c:v>119</c:v>
                </c:pt>
                <c:pt idx="4">
                  <c:v>150</c:v>
                </c:pt>
                <c:pt idx="5">
                  <c:v>169</c:v>
                </c:pt>
                <c:pt idx="6">
                  <c:v>119</c:v>
                </c:pt>
                <c:pt idx="7">
                  <c:v>88</c:v>
                </c:pt>
                <c:pt idx="8">
                  <c:v>51</c:v>
                </c:pt>
                <c:pt idx="9">
                  <c:v>24</c:v>
                </c:pt>
                <c:pt idx="10">
                  <c:v>23</c:v>
                </c:pt>
                <c:pt idx="11">
                  <c:v>36</c:v>
                </c:pt>
              </c:numCache>
            </c:numRef>
          </c:val>
        </c:ser>
        <c:ser>
          <c:idx val="12"/>
          <c:order val="10"/>
          <c:tx>
            <c:v>V. de Sto. Antão</c:v>
          </c:tx>
          <c:spPr>
            <a:ln>
              <a:solidFill>
                <a:sysClr val="windowText" lastClr="000000"/>
              </a:solidFill>
            </a:ln>
          </c:spPr>
          <c:val>
            <c:numRef>
              <c:f>'zona da mata'!$B$13:$M$13</c:f>
              <c:numCache>
                <c:formatCode>General</c:formatCode>
                <c:ptCount val="12"/>
                <c:pt idx="0">
                  <c:v>46</c:v>
                </c:pt>
                <c:pt idx="1">
                  <c:v>53</c:v>
                </c:pt>
                <c:pt idx="2">
                  <c:v>98</c:v>
                </c:pt>
                <c:pt idx="3">
                  <c:v>55</c:v>
                </c:pt>
                <c:pt idx="4">
                  <c:v>72</c:v>
                </c:pt>
                <c:pt idx="5">
                  <c:v>101</c:v>
                </c:pt>
                <c:pt idx="6">
                  <c:v>77</c:v>
                </c:pt>
                <c:pt idx="7">
                  <c:v>52</c:v>
                </c:pt>
                <c:pt idx="8">
                  <c:v>43</c:v>
                </c:pt>
                <c:pt idx="9">
                  <c:v>24</c:v>
                </c:pt>
                <c:pt idx="10">
                  <c:v>14</c:v>
                </c:pt>
                <c:pt idx="11">
                  <c:v>33</c:v>
                </c:pt>
              </c:numCache>
            </c:numRef>
          </c:val>
        </c:ser>
        <c:axId val="142022144"/>
        <c:axId val="142024064"/>
      </c:barChart>
      <c:catAx>
        <c:axId val="142022144"/>
        <c:scaling>
          <c:orientation val="minMax"/>
        </c:scaling>
        <c:axPos val="b"/>
        <c:title>
          <c:tx>
            <c:rich>
              <a:bodyPr/>
              <a:lstStyle/>
              <a:p>
                <a:pPr>
                  <a:defRPr sz="800"/>
                </a:pPr>
                <a:r>
                  <a:rPr lang="pt-BR" sz="800"/>
                  <a:t>Months</a:t>
                </a:r>
              </a:p>
            </c:rich>
          </c:tx>
          <c:layout>
            <c:manualLayout>
              <c:xMode val="edge"/>
              <c:yMode val="edge"/>
              <c:x val="0.47567080557238056"/>
              <c:y val="0.70374545454545534"/>
            </c:manualLayout>
          </c:layout>
        </c:title>
        <c:majorTickMark val="none"/>
        <c:tickLblPos val="nextTo"/>
        <c:txPr>
          <a:bodyPr rot="-5400000" vert="horz"/>
          <a:lstStyle/>
          <a:p>
            <a:pPr>
              <a:defRPr sz="800"/>
            </a:pPr>
            <a:endParaRPr lang="pt-BR"/>
          </a:p>
        </c:txPr>
        <c:crossAx val="142024064"/>
        <c:crosses val="autoZero"/>
        <c:auto val="1"/>
        <c:lblAlgn val="ctr"/>
        <c:lblOffset val="100"/>
      </c:catAx>
      <c:valAx>
        <c:axId val="142024064"/>
        <c:scaling>
          <c:orientation val="minMax"/>
        </c:scaling>
        <c:axPos val="l"/>
        <c:title>
          <c:tx>
            <c:rich>
              <a:bodyPr/>
              <a:lstStyle/>
              <a:p>
                <a:pPr>
                  <a:defRPr sz="800"/>
                </a:pPr>
                <a:r>
                  <a:rPr lang="pt-BR" sz="800"/>
                  <a:t>Rainfall (mm)</a:t>
                </a:r>
              </a:p>
            </c:rich>
          </c:tx>
        </c:title>
        <c:numFmt formatCode="General" sourceLinked="1"/>
        <c:tickLblPos val="nextTo"/>
        <c:txPr>
          <a:bodyPr/>
          <a:lstStyle/>
          <a:p>
            <a:pPr>
              <a:defRPr sz="800"/>
            </a:pPr>
            <a:endParaRPr lang="pt-BR"/>
          </a:p>
        </c:txPr>
        <c:crossAx val="142022144"/>
        <c:crosses val="autoZero"/>
        <c:crossBetween val="between"/>
      </c:valAx>
    </c:plotArea>
    <c:legend>
      <c:legendPos val="r"/>
      <c:layout>
        <c:manualLayout>
          <c:xMode val="edge"/>
          <c:yMode val="edge"/>
          <c:x val="0"/>
          <c:y val="0.77950057305533382"/>
          <c:w val="0.95605998458864083"/>
          <c:h val="0.17804911471598694"/>
        </c:manualLayout>
      </c:layout>
      <c:txPr>
        <a:bodyPr/>
        <a:lstStyle/>
        <a:p>
          <a:pPr>
            <a:defRPr sz="600"/>
          </a:pPr>
          <a:endParaRPr lang="pt-BR"/>
        </a:p>
      </c:txPr>
    </c:legend>
    <c:plotVisOnly val="1"/>
  </c:chart>
  <c:spPr>
    <a:ln>
      <a:noFill/>
    </a:ln>
  </c:spPr>
  <c:txPr>
    <a:bodyPr/>
    <a:lstStyle/>
    <a:p>
      <a:pPr>
        <a:defRPr>
          <a:latin typeface="Times New Roman" pitchFamily="18" charset="0"/>
          <a:cs typeface="Times New Roman" pitchFamily="18" charset="0"/>
        </a:defRPr>
      </a:pPr>
      <a:endParaRPr lang="pt-BR"/>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lang val="pt-BR"/>
  <c:chart>
    <c:autoTitleDeleted val="1"/>
    <c:plotArea>
      <c:layout>
        <c:manualLayout>
          <c:layoutTarget val="inner"/>
          <c:xMode val="edge"/>
          <c:yMode val="edge"/>
          <c:x val="0.15082677165354305"/>
          <c:y val="6.1750256761383085E-2"/>
          <c:w val="0.78816107331243779"/>
          <c:h val="0.51139207463197534"/>
        </c:manualLayout>
      </c:layout>
      <c:barChart>
        <c:barDir val="col"/>
        <c:grouping val="clustered"/>
        <c:ser>
          <c:idx val="0"/>
          <c:order val="0"/>
          <c:tx>
            <c:v>Aguas belas</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agreste!$B$2:$M$2</c:f>
              <c:numCache>
                <c:formatCode>General</c:formatCode>
                <c:ptCount val="12"/>
                <c:pt idx="0">
                  <c:v>34</c:v>
                </c:pt>
                <c:pt idx="1">
                  <c:v>50</c:v>
                </c:pt>
                <c:pt idx="2">
                  <c:v>78</c:v>
                </c:pt>
                <c:pt idx="3">
                  <c:v>75</c:v>
                </c:pt>
                <c:pt idx="4">
                  <c:v>99</c:v>
                </c:pt>
                <c:pt idx="5">
                  <c:v>94</c:v>
                </c:pt>
                <c:pt idx="6">
                  <c:v>82</c:v>
                </c:pt>
                <c:pt idx="7">
                  <c:v>48</c:v>
                </c:pt>
                <c:pt idx="8">
                  <c:v>22</c:v>
                </c:pt>
                <c:pt idx="9">
                  <c:v>13</c:v>
                </c:pt>
                <c:pt idx="10">
                  <c:v>21</c:v>
                </c:pt>
                <c:pt idx="11">
                  <c:v>34</c:v>
                </c:pt>
              </c:numCache>
            </c:numRef>
          </c:val>
        </c:ser>
        <c:ser>
          <c:idx val="1"/>
          <c:order val="1"/>
          <c:tx>
            <c:v>Alagoinha</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agreste!$B$3:$M$3</c:f>
              <c:numCache>
                <c:formatCode>General</c:formatCode>
                <c:ptCount val="12"/>
                <c:pt idx="0">
                  <c:v>21</c:v>
                </c:pt>
                <c:pt idx="1">
                  <c:v>34</c:v>
                </c:pt>
                <c:pt idx="2">
                  <c:v>58</c:v>
                </c:pt>
                <c:pt idx="3">
                  <c:v>34</c:v>
                </c:pt>
                <c:pt idx="4">
                  <c:v>26</c:v>
                </c:pt>
                <c:pt idx="5">
                  <c:v>48</c:v>
                </c:pt>
                <c:pt idx="6">
                  <c:v>39</c:v>
                </c:pt>
                <c:pt idx="7">
                  <c:v>13</c:v>
                </c:pt>
                <c:pt idx="8">
                  <c:v>7</c:v>
                </c:pt>
                <c:pt idx="9">
                  <c:v>16</c:v>
                </c:pt>
                <c:pt idx="10">
                  <c:v>12</c:v>
                </c:pt>
                <c:pt idx="11">
                  <c:v>15</c:v>
                </c:pt>
              </c:numCache>
            </c:numRef>
          </c:val>
        </c:ser>
        <c:ser>
          <c:idx val="2"/>
          <c:order val="2"/>
          <c:tx>
            <c:v>Bezerros</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agreste!$B$4:$M$4</c:f>
              <c:numCache>
                <c:formatCode>General</c:formatCode>
                <c:ptCount val="12"/>
                <c:pt idx="0">
                  <c:v>10</c:v>
                </c:pt>
                <c:pt idx="1">
                  <c:v>50</c:v>
                </c:pt>
                <c:pt idx="2">
                  <c:v>48</c:v>
                </c:pt>
                <c:pt idx="3">
                  <c:v>41</c:v>
                </c:pt>
                <c:pt idx="4">
                  <c:v>50</c:v>
                </c:pt>
                <c:pt idx="5">
                  <c:v>52</c:v>
                </c:pt>
                <c:pt idx="6">
                  <c:v>72</c:v>
                </c:pt>
                <c:pt idx="7">
                  <c:v>34</c:v>
                </c:pt>
                <c:pt idx="8">
                  <c:v>13</c:v>
                </c:pt>
                <c:pt idx="9">
                  <c:v>6</c:v>
                </c:pt>
                <c:pt idx="10">
                  <c:v>20</c:v>
                </c:pt>
                <c:pt idx="11">
                  <c:v>17</c:v>
                </c:pt>
              </c:numCache>
            </c:numRef>
          </c:val>
        </c:ser>
        <c:ser>
          <c:idx val="3"/>
          <c:order val="3"/>
          <c:tx>
            <c:v>Gravatá</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agreste!$B$5:$M$5</c:f>
              <c:numCache>
                <c:formatCode>General</c:formatCode>
                <c:ptCount val="12"/>
                <c:pt idx="0">
                  <c:v>9</c:v>
                </c:pt>
                <c:pt idx="1">
                  <c:v>16</c:v>
                </c:pt>
                <c:pt idx="2">
                  <c:v>46</c:v>
                </c:pt>
                <c:pt idx="3">
                  <c:v>26</c:v>
                </c:pt>
                <c:pt idx="4">
                  <c:v>28</c:v>
                </c:pt>
                <c:pt idx="5">
                  <c:v>13</c:v>
                </c:pt>
                <c:pt idx="6">
                  <c:v>10</c:v>
                </c:pt>
                <c:pt idx="7">
                  <c:v>21</c:v>
                </c:pt>
                <c:pt idx="8">
                  <c:v>7</c:v>
                </c:pt>
                <c:pt idx="9">
                  <c:v>6</c:v>
                </c:pt>
                <c:pt idx="10">
                  <c:v>27</c:v>
                </c:pt>
                <c:pt idx="11">
                  <c:v>10</c:v>
                </c:pt>
              </c:numCache>
            </c:numRef>
          </c:val>
        </c:ser>
        <c:ser>
          <c:idx val="4"/>
          <c:order val="4"/>
          <c:tx>
            <c:v>Pesqueira</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agreste!$B$6:$M$6</c:f>
              <c:numCache>
                <c:formatCode>General</c:formatCode>
                <c:ptCount val="12"/>
                <c:pt idx="0">
                  <c:v>40</c:v>
                </c:pt>
                <c:pt idx="1">
                  <c:v>47</c:v>
                </c:pt>
                <c:pt idx="2">
                  <c:v>60</c:v>
                </c:pt>
                <c:pt idx="3">
                  <c:v>71</c:v>
                </c:pt>
                <c:pt idx="4">
                  <c:v>57</c:v>
                </c:pt>
                <c:pt idx="5">
                  <c:v>52</c:v>
                </c:pt>
                <c:pt idx="6">
                  <c:v>46</c:v>
                </c:pt>
                <c:pt idx="7">
                  <c:v>26</c:v>
                </c:pt>
                <c:pt idx="8">
                  <c:v>21</c:v>
                </c:pt>
                <c:pt idx="9">
                  <c:v>20</c:v>
                </c:pt>
                <c:pt idx="10">
                  <c:v>20</c:v>
                </c:pt>
                <c:pt idx="11">
                  <c:v>18</c:v>
                </c:pt>
              </c:numCache>
            </c:numRef>
          </c:val>
        </c:ser>
        <c:ser>
          <c:idx val="5"/>
          <c:order val="5"/>
          <c:tx>
            <c:v>Cimbres</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agreste!$B$7:$M$7</c:f>
              <c:numCache>
                <c:formatCode>General</c:formatCode>
                <c:ptCount val="12"/>
                <c:pt idx="0">
                  <c:v>29</c:v>
                </c:pt>
                <c:pt idx="1">
                  <c:v>84</c:v>
                </c:pt>
                <c:pt idx="2">
                  <c:v>89</c:v>
                </c:pt>
                <c:pt idx="3">
                  <c:v>65</c:v>
                </c:pt>
                <c:pt idx="4">
                  <c:v>39</c:v>
                </c:pt>
                <c:pt idx="5">
                  <c:v>93</c:v>
                </c:pt>
                <c:pt idx="6">
                  <c:v>119</c:v>
                </c:pt>
                <c:pt idx="7">
                  <c:v>26</c:v>
                </c:pt>
                <c:pt idx="8">
                  <c:v>12</c:v>
                </c:pt>
                <c:pt idx="9">
                  <c:v>4</c:v>
                </c:pt>
                <c:pt idx="10">
                  <c:v>2</c:v>
                </c:pt>
                <c:pt idx="11">
                  <c:v>3</c:v>
                </c:pt>
              </c:numCache>
            </c:numRef>
          </c:val>
        </c:ser>
        <c:ser>
          <c:idx val="6"/>
          <c:order val="6"/>
          <c:tx>
            <c:v>S. Caetano</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agreste!$B$8:$M$8</c:f>
              <c:numCache>
                <c:formatCode>General</c:formatCode>
                <c:ptCount val="12"/>
                <c:pt idx="0">
                  <c:v>37</c:v>
                </c:pt>
                <c:pt idx="1">
                  <c:v>44</c:v>
                </c:pt>
                <c:pt idx="2">
                  <c:v>46</c:v>
                </c:pt>
                <c:pt idx="3">
                  <c:v>52</c:v>
                </c:pt>
                <c:pt idx="4">
                  <c:v>45</c:v>
                </c:pt>
                <c:pt idx="5">
                  <c:v>54</c:v>
                </c:pt>
                <c:pt idx="6">
                  <c:v>52</c:v>
                </c:pt>
                <c:pt idx="7">
                  <c:v>28</c:v>
                </c:pt>
                <c:pt idx="8">
                  <c:v>16</c:v>
                </c:pt>
                <c:pt idx="9">
                  <c:v>23</c:v>
                </c:pt>
                <c:pt idx="10">
                  <c:v>5</c:v>
                </c:pt>
                <c:pt idx="11">
                  <c:v>50</c:v>
                </c:pt>
              </c:numCache>
            </c:numRef>
          </c:val>
        </c:ser>
        <c:ser>
          <c:idx val="7"/>
          <c:order val="7"/>
          <c:tx>
            <c:v>S. B. do Una</c:v>
          </c:tx>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agreste!$B$9:$M$9</c:f>
              <c:numCache>
                <c:formatCode>General</c:formatCode>
                <c:ptCount val="12"/>
                <c:pt idx="0">
                  <c:v>25</c:v>
                </c:pt>
                <c:pt idx="1">
                  <c:v>30</c:v>
                </c:pt>
                <c:pt idx="2">
                  <c:v>56</c:v>
                </c:pt>
                <c:pt idx="3">
                  <c:v>44</c:v>
                </c:pt>
                <c:pt idx="4">
                  <c:v>49</c:v>
                </c:pt>
                <c:pt idx="5">
                  <c:v>56</c:v>
                </c:pt>
                <c:pt idx="6">
                  <c:v>47</c:v>
                </c:pt>
                <c:pt idx="7">
                  <c:v>29</c:v>
                </c:pt>
                <c:pt idx="8">
                  <c:v>17</c:v>
                </c:pt>
                <c:pt idx="9">
                  <c:v>21</c:v>
                </c:pt>
                <c:pt idx="10">
                  <c:v>8</c:v>
                </c:pt>
                <c:pt idx="11">
                  <c:v>32</c:v>
                </c:pt>
              </c:numCache>
            </c:numRef>
          </c:val>
        </c:ser>
        <c:ser>
          <c:idx val="8"/>
          <c:order val="8"/>
          <c:tx>
            <c:v>Correntes</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agreste!$B$10:$M$10</c:f>
              <c:numCache>
                <c:formatCode>General</c:formatCode>
                <c:ptCount val="12"/>
                <c:pt idx="0">
                  <c:v>40</c:v>
                </c:pt>
                <c:pt idx="1">
                  <c:v>39</c:v>
                </c:pt>
                <c:pt idx="2">
                  <c:v>93</c:v>
                </c:pt>
                <c:pt idx="3">
                  <c:v>106</c:v>
                </c:pt>
                <c:pt idx="4">
                  <c:v>142</c:v>
                </c:pt>
                <c:pt idx="5">
                  <c:v>182</c:v>
                </c:pt>
                <c:pt idx="6">
                  <c:v>175</c:v>
                </c:pt>
                <c:pt idx="7">
                  <c:v>101</c:v>
                </c:pt>
                <c:pt idx="8">
                  <c:v>59</c:v>
                </c:pt>
                <c:pt idx="9">
                  <c:v>28</c:v>
                </c:pt>
                <c:pt idx="10">
                  <c:v>18</c:v>
                </c:pt>
                <c:pt idx="11">
                  <c:v>28</c:v>
                </c:pt>
              </c:numCache>
            </c:numRef>
          </c:val>
        </c:ser>
        <c:ser>
          <c:idx val="9"/>
          <c:order val="9"/>
          <c:tx>
            <c:v>Garanhuns</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agreste!$B$11:$M$11</c:f>
              <c:numCache>
                <c:formatCode>General</c:formatCode>
                <c:ptCount val="12"/>
                <c:pt idx="0">
                  <c:v>28</c:v>
                </c:pt>
                <c:pt idx="1">
                  <c:v>14</c:v>
                </c:pt>
                <c:pt idx="2">
                  <c:v>45</c:v>
                </c:pt>
                <c:pt idx="3">
                  <c:v>34</c:v>
                </c:pt>
                <c:pt idx="4">
                  <c:v>95</c:v>
                </c:pt>
                <c:pt idx="5">
                  <c:v>89</c:v>
                </c:pt>
                <c:pt idx="6">
                  <c:v>73</c:v>
                </c:pt>
                <c:pt idx="7">
                  <c:v>76</c:v>
                </c:pt>
                <c:pt idx="8">
                  <c:v>27</c:v>
                </c:pt>
                <c:pt idx="9">
                  <c:v>25</c:v>
                </c:pt>
                <c:pt idx="10">
                  <c:v>8</c:v>
                </c:pt>
                <c:pt idx="11">
                  <c:v>14</c:v>
                </c:pt>
              </c:numCache>
            </c:numRef>
          </c:val>
        </c:ser>
        <c:ser>
          <c:idx val="10"/>
          <c:order val="10"/>
          <c:tx>
            <c:v>S. J. do Monte</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agreste!$B$12:$M$12</c:f>
              <c:numCache>
                <c:formatCode>General</c:formatCode>
                <c:ptCount val="12"/>
                <c:pt idx="0">
                  <c:v>23</c:v>
                </c:pt>
                <c:pt idx="1">
                  <c:v>33</c:v>
                </c:pt>
                <c:pt idx="2">
                  <c:v>88</c:v>
                </c:pt>
                <c:pt idx="3">
                  <c:v>98</c:v>
                </c:pt>
                <c:pt idx="4">
                  <c:v>75</c:v>
                </c:pt>
                <c:pt idx="5">
                  <c:v>56</c:v>
                </c:pt>
                <c:pt idx="6">
                  <c:v>88</c:v>
                </c:pt>
                <c:pt idx="7">
                  <c:v>95</c:v>
                </c:pt>
                <c:pt idx="8">
                  <c:v>48</c:v>
                </c:pt>
                <c:pt idx="9">
                  <c:v>15</c:v>
                </c:pt>
                <c:pt idx="10">
                  <c:v>22</c:v>
                </c:pt>
                <c:pt idx="11">
                  <c:v>25</c:v>
                </c:pt>
              </c:numCache>
            </c:numRef>
          </c:val>
        </c:ser>
        <c:ser>
          <c:idx val="11"/>
          <c:order val="11"/>
          <c:tx>
            <c:v>Bom Jardim</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agreste!$B$13:$M$13</c:f>
              <c:numCache>
                <c:formatCode>General</c:formatCode>
                <c:ptCount val="12"/>
                <c:pt idx="0">
                  <c:v>34</c:v>
                </c:pt>
                <c:pt idx="1">
                  <c:v>56</c:v>
                </c:pt>
                <c:pt idx="2">
                  <c:v>116</c:v>
                </c:pt>
                <c:pt idx="3">
                  <c:v>104</c:v>
                </c:pt>
                <c:pt idx="4">
                  <c:v>100</c:v>
                </c:pt>
                <c:pt idx="5">
                  <c:v>114</c:v>
                </c:pt>
                <c:pt idx="6">
                  <c:v>121</c:v>
                </c:pt>
                <c:pt idx="7">
                  <c:v>73</c:v>
                </c:pt>
                <c:pt idx="8">
                  <c:v>43</c:v>
                </c:pt>
                <c:pt idx="9">
                  <c:v>21</c:v>
                </c:pt>
                <c:pt idx="10">
                  <c:v>15</c:v>
                </c:pt>
                <c:pt idx="11">
                  <c:v>34</c:v>
                </c:pt>
              </c:numCache>
            </c:numRef>
          </c:val>
        </c:ser>
        <c:ser>
          <c:idx val="12"/>
          <c:order val="12"/>
          <c:tx>
            <c:v>Limoeiro</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agreste!$B$14:$M$14</c:f>
              <c:numCache>
                <c:formatCode>General</c:formatCode>
                <c:ptCount val="12"/>
                <c:pt idx="0">
                  <c:v>33</c:v>
                </c:pt>
                <c:pt idx="1">
                  <c:v>45</c:v>
                </c:pt>
                <c:pt idx="2">
                  <c:v>83</c:v>
                </c:pt>
                <c:pt idx="3">
                  <c:v>68</c:v>
                </c:pt>
                <c:pt idx="4">
                  <c:v>77</c:v>
                </c:pt>
                <c:pt idx="5">
                  <c:v>88</c:v>
                </c:pt>
                <c:pt idx="6">
                  <c:v>97</c:v>
                </c:pt>
                <c:pt idx="7">
                  <c:v>46</c:v>
                </c:pt>
                <c:pt idx="8">
                  <c:v>32</c:v>
                </c:pt>
                <c:pt idx="9">
                  <c:v>17</c:v>
                </c:pt>
                <c:pt idx="10">
                  <c:v>21</c:v>
                </c:pt>
                <c:pt idx="11">
                  <c:v>21</c:v>
                </c:pt>
              </c:numCache>
            </c:numRef>
          </c:val>
        </c:ser>
        <c:ser>
          <c:idx val="13"/>
          <c:order val="13"/>
          <c:tx>
            <c:v>Caruaru</c:v>
          </c:tx>
          <c:spPr>
            <a:ln>
              <a:solidFill>
                <a:sysClr val="windowText" lastClr="000000"/>
              </a:solidFill>
            </a:ln>
          </c:spPr>
          <c:cat>
            <c:strRef>
              <c:f>agreste!$B$1:$M$1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agreste!$B$15:$M$15</c:f>
              <c:numCache>
                <c:formatCode>General</c:formatCode>
                <c:ptCount val="12"/>
                <c:pt idx="0">
                  <c:v>11</c:v>
                </c:pt>
                <c:pt idx="1">
                  <c:v>16</c:v>
                </c:pt>
                <c:pt idx="2">
                  <c:v>38</c:v>
                </c:pt>
                <c:pt idx="3">
                  <c:v>41</c:v>
                </c:pt>
                <c:pt idx="4">
                  <c:v>24</c:v>
                </c:pt>
                <c:pt idx="5">
                  <c:v>30</c:v>
                </c:pt>
                <c:pt idx="6">
                  <c:v>24</c:v>
                </c:pt>
                <c:pt idx="7">
                  <c:v>23</c:v>
                </c:pt>
                <c:pt idx="8">
                  <c:v>9</c:v>
                </c:pt>
                <c:pt idx="9">
                  <c:v>6</c:v>
                </c:pt>
                <c:pt idx="10">
                  <c:v>18</c:v>
                </c:pt>
                <c:pt idx="11">
                  <c:v>5</c:v>
                </c:pt>
              </c:numCache>
            </c:numRef>
          </c:val>
        </c:ser>
        <c:axId val="142116352"/>
        <c:axId val="142118272"/>
      </c:barChart>
      <c:catAx>
        <c:axId val="142116352"/>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layout>
            <c:manualLayout>
              <c:xMode val="edge"/>
              <c:yMode val="edge"/>
              <c:x val="0.48165086767066773"/>
              <c:y val="0.71226717171717158"/>
            </c:manualLayout>
          </c:layout>
        </c:title>
        <c:majorTickMark val="none"/>
        <c:tickLblPos val="nextTo"/>
        <c:txPr>
          <a:bodyPr rot="-5400000" vert="horz"/>
          <a:lstStyle/>
          <a:p>
            <a:pPr>
              <a:defRPr sz="800">
                <a:latin typeface="Times New Roman" pitchFamily="18" charset="0"/>
                <a:cs typeface="Times New Roman" pitchFamily="18" charset="0"/>
              </a:defRPr>
            </a:pPr>
            <a:endParaRPr lang="pt-BR"/>
          </a:p>
        </c:txPr>
        <c:crossAx val="142118272"/>
        <c:crosses val="autoZero"/>
        <c:auto val="1"/>
        <c:lblAlgn val="ctr"/>
        <c:lblOffset val="100"/>
      </c:catAx>
      <c:valAx>
        <c:axId val="142118272"/>
        <c:scaling>
          <c:orientation val="minMax"/>
          <c:max val="350"/>
        </c:scaling>
        <c:axPos val="l"/>
        <c:numFmt formatCode="General" sourceLinked="1"/>
        <c:tickLblPos val="nextTo"/>
        <c:txPr>
          <a:bodyPr/>
          <a:lstStyle/>
          <a:p>
            <a:pPr>
              <a:defRPr sz="800">
                <a:latin typeface="Times New Roman" pitchFamily="18" charset="0"/>
                <a:cs typeface="Times New Roman" pitchFamily="18" charset="0"/>
              </a:defRPr>
            </a:pPr>
            <a:endParaRPr lang="pt-BR"/>
          </a:p>
        </c:txPr>
        <c:crossAx val="142116352"/>
        <c:crosses val="autoZero"/>
        <c:crossBetween val="between"/>
        <c:majorUnit val="50"/>
      </c:valAx>
    </c:plotArea>
    <c:legend>
      <c:legendPos val="r"/>
      <c:layout>
        <c:manualLayout>
          <c:xMode val="edge"/>
          <c:yMode val="edge"/>
          <c:x val="0"/>
          <c:y val="0.79611965811965812"/>
          <c:w val="0.99525464595033808"/>
          <c:h val="0.18759834005128362"/>
        </c:manualLayout>
      </c:layout>
      <c:txPr>
        <a:bodyPr/>
        <a:lstStyle/>
        <a:p>
          <a:pPr>
            <a:defRPr sz="600">
              <a:latin typeface="Times New Roman" pitchFamily="18" charset="0"/>
              <a:cs typeface="Times New Roman" pitchFamily="18" charset="0"/>
            </a:defRPr>
          </a:pPr>
          <a:endParaRPr lang="pt-BR"/>
        </a:p>
      </c:txPr>
    </c:legend>
    <c:plotVisOnly val="1"/>
  </c:chart>
  <c:spPr>
    <a:ln>
      <a:noFill/>
    </a:ln>
  </c:sp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lang val="pt-BR"/>
  <c:chart>
    <c:autoTitleDeleted val="1"/>
    <c:plotArea>
      <c:layout>
        <c:manualLayout>
          <c:layoutTarget val="inner"/>
          <c:xMode val="edge"/>
          <c:yMode val="edge"/>
          <c:x val="0.17463603520148221"/>
          <c:y val="6.6558119658119655E-2"/>
          <c:w val="0.78269606299212602"/>
          <c:h val="0.53575598290598292"/>
        </c:manualLayout>
      </c:layout>
      <c:barChart>
        <c:barDir val="col"/>
        <c:grouping val="clustered"/>
        <c:ser>
          <c:idx val="0"/>
          <c:order val="0"/>
          <c:tx>
            <c:v>Pau Ferro</c:v>
          </c:tx>
          <c:cat>
            <c:strRef>
              <c:f>'sertão do chico'!$B$1:$M$1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 do chico'!$B$2:$M$2</c:f>
              <c:numCache>
                <c:formatCode>General</c:formatCode>
                <c:ptCount val="12"/>
                <c:pt idx="0">
                  <c:v>3</c:v>
                </c:pt>
                <c:pt idx="1">
                  <c:v>32</c:v>
                </c:pt>
                <c:pt idx="2">
                  <c:v>26</c:v>
                </c:pt>
                <c:pt idx="3">
                  <c:v>3</c:v>
                </c:pt>
                <c:pt idx="4">
                  <c:v>0</c:v>
                </c:pt>
                <c:pt idx="5">
                  <c:v>0</c:v>
                </c:pt>
                <c:pt idx="6">
                  <c:v>0</c:v>
                </c:pt>
                <c:pt idx="7">
                  <c:v>0</c:v>
                </c:pt>
                <c:pt idx="8">
                  <c:v>0</c:v>
                </c:pt>
                <c:pt idx="9">
                  <c:v>0</c:v>
                </c:pt>
                <c:pt idx="10">
                  <c:v>15</c:v>
                </c:pt>
                <c:pt idx="11">
                  <c:v>21</c:v>
                </c:pt>
              </c:numCache>
            </c:numRef>
          </c:val>
        </c:ser>
        <c:ser>
          <c:idx val="1"/>
          <c:order val="1"/>
          <c:tx>
            <c:v>Jutaí</c:v>
          </c:tx>
          <c:spPr>
            <a:ln>
              <a:solidFill>
                <a:sysClr val="windowText" lastClr="000000"/>
              </a:solidFill>
            </a:ln>
          </c:spPr>
          <c:cat>
            <c:strRef>
              <c:f>'sertão do chico'!$B$1:$M$1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 do chico'!$B$3:$M$3</c:f>
              <c:numCache>
                <c:formatCode>General</c:formatCode>
                <c:ptCount val="12"/>
                <c:pt idx="0">
                  <c:v>44</c:v>
                </c:pt>
                <c:pt idx="1">
                  <c:v>22</c:v>
                </c:pt>
                <c:pt idx="2">
                  <c:v>55</c:v>
                </c:pt>
                <c:pt idx="3">
                  <c:v>41</c:v>
                </c:pt>
                <c:pt idx="4">
                  <c:v>14</c:v>
                </c:pt>
                <c:pt idx="5">
                  <c:v>20</c:v>
                </c:pt>
                <c:pt idx="6">
                  <c:v>10</c:v>
                </c:pt>
                <c:pt idx="7">
                  <c:v>3</c:v>
                </c:pt>
                <c:pt idx="8">
                  <c:v>5</c:v>
                </c:pt>
                <c:pt idx="9">
                  <c:v>2</c:v>
                </c:pt>
                <c:pt idx="10">
                  <c:v>29</c:v>
                </c:pt>
                <c:pt idx="11">
                  <c:v>47</c:v>
                </c:pt>
              </c:numCache>
            </c:numRef>
          </c:val>
        </c:ser>
        <c:ser>
          <c:idx val="2"/>
          <c:order val="2"/>
          <c:tx>
            <c:v>Lagoa Grande</c:v>
          </c:tx>
          <c:spPr>
            <a:ln>
              <a:solidFill>
                <a:sysClr val="windowText" lastClr="000000"/>
              </a:solidFill>
            </a:ln>
          </c:spPr>
          <c:cat>
            <c:strRef>
              <c:f>'sertão do chico'!$B$1:$M$1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 do chico'!$B$4:$M$4</c:f>
              <c:numCache>
                <c:formatCode>General</c:formatCode>
                <c:ptCount val="12"/>
                <c:pt idx="0">
                  <c:v>60</c:v>
                </c:pt>
                <c:pt idx="1">
                  <c:v>65</c:v>
                </c:pt>
                <c:pt idx="2">
                  <c:v>65</c:v>
                </c:pt>
                <c:pt idx="3">
                  <c:v>58</c:v>
                </c:pt>
                <c:pt idx="4">
                  <c:v>15</c:v>
                </c:pt>
                <c:pt idx="5">
                  <c:v>2</c:v>
                </c:pt>
                <c:pt idx="6">
                  <c:v>3</c:v>
                </c:pt>
                <c:pt idx="7">
                  <c:v>1</c:v>
                </c:pt>
                <c:pt idx="8">
                  <c:v>7</c:v>
                </c:pt>
                <c:pt idx="9">
                  <c:v>9</c:v>
                </c:pt>
                <c:pt idx="10">
                  <c:v>19</c:v>
                </c:pt>
                <c:pt idx="11">
                  <c:v>64</c:v>
                </c:pt>
              </c:numCache>
            </c:numRef>
          </c:val>
        </c:ser>
        <c:ser>
          <c:idx val="3"/>
          <c:order val="3"/>
          <c:tx>
            <c:v>Petrolina</c:v>
          </c:tx>
          <c:spPr>
            <a:ln>
              <a:solidFill>
                <a:sysClr val="windowText" lastClr="000000"/>
              </a:solidFill>
            </a:ln>
          </c:spPr>
          <c:cat>
            <c:strRef>
              <c:f>'sertão do chico'!$B$1:$M$1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 do chico'!$B$5:$M$5</c:f>
              <c:numCache>
                <c:formatCode>General</c:formatCode>
                <c:ptCount val="12"/>
                <c:pt idx="0">
                  <c:v>32</c:v>
                </c:pt>
                <c:pt idx="1">
                  <c:v>41</c:v>
                </c:pt>
                <c:pt idx="2">
                  <c:v>40</c:v>
                </c:pt>
                <c:pt idx="3">
                  <c:v>30</c:v>
                </c:pt>
                <c:pt idx="4">
                  <c:v>2</c:v>
                </c:pt>
                <c:pt idx="5">
                  <c:v>2</c:v>
                </c:pt>
                <c:pt idx="6">
                  <c:v>2</c:v>
                </c:pt>
                <c:pt idx="7">
                  <c:v>1</c:v>
                </c:pt>
                <c:pt idx="8">
                  <c:v>5</c:v>
                </c:pt>
                <c:pt idx="9">
                  <c:v>8</c:v>
                </c:pt>
                <c:pt idx="10">
                  <c:v>41</c:v>
                </c:pt>
                <c:pt idx="11">
                  <c:v>36</c:v>
                </c:pt>
              </c:numCache>
            </c:numRef>
          </c:val>
        </c:ser>
        <c:ser>
          <c:idx val="4"/>
          <c:order val="4"/>
          <c:tx>
            <c:v>Orocó</c:v>
          </c:tx>
          <c:spPr>
            <a:ln>
              <a:solidFill>
                <a:sysClr val="windowText" lastClr="000000"/>
              </a:solidFill>
            </a:ln>
          </c:spPr>
          <c:cat>
            <c:strRef>
              <c:f>'sertão do chico'!$B$1:$M$1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 do chico'!$B$6:$M$6</c:f>
              <c:numCache>
                <c:formatCode>General</c:formatCode>
                <c:ptCount val="12"/>
                <c:pt idx="0">
                  <c:v>78</c:v>
                </c:pt>
                <c:pt idx="1">
                  <c:v>25</c:v>
                </c:pt>
                <c:pt idx="2">
                  <c:v>71</c:v>
                </c:pt>
                <c:pt idx="3">
                  <c:v>34</c:v>
                </c:pt>
                <c:pt idx="4">
                  <c:v>29</c:v>
                </c:pt>
                <c:pt idx="5">
                  <c:v>9</c:v>
                </c:pt>
                <c:pt idx="6">
                  <c:v>5</c:v>
                </c:pt>
                <c:pt idx="7">
                  <c:v>2</c:v>
                </c:pt>
                <c:pt idx="8">
                  <c:v>0</c:v>
                </c:pt>
                <c:pt idx="9">
                  <c:v>6</c:v>
                </c:pt>
                <c:pt idx="10">
                  <c:v>14</c:v>
                </c:pt>
                <c:pt idx="11">
                  <c:v>31</c:v>
                </c:pt>
              </c:numCache>
            </c:numRef>
          </c:val>
        </c:ser>
        <c:ser>
          <c:idx val="5"/>
          <c:order val="5"/>
          <c:tx>
            <c:v>Cabrobó</c:v>
          </c:tx>
          <c:spPr>
            <a:ln>
              <a:solidFill>
                <a:sysClr val="windowText" lastClr="000000"/>
              </a:solidFill>
            </a:ln>
          </c:spPr>
          <c:cat>
            <c:strRef>
              <c:f>'sertão do chico'!$B$1:$M$1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 do chico'!$B$7:$M$7</c:f>
              <c:numCache>
                <c:formatCode>General</c:formatCode>
                <c:ptCount val="12"/>
                <c:pt idx="0">
                  <c:v>29</c:v>
                </c:pt>
                <c:pt idx="1">
                  <c:v>43</c:v>
                </c:pt>
                <c:pt idx="2">
                  <c:v>43</c:v>
                </c:pt>
                <c:pt idx="3">
                  <c:v>25</c:v>
                </c:pt>
                <c:pt idx="4">
                  <c:v>8</c:v>
                </c:pt>
                <c:pt idx="5">
                  <c:v>11</c:v>
                </c:pt>
                <c:pt idx="6">
                  <c:v>6</c:v>
                </c:pt>
                <c:pt idx="7">
                  <c:v>2</c:v>
                </c:pt>
                <c:pt idx="8">
                  <c:v>3</c:v>
                </c:pt>
                <c:pt idx="9">
                  <c:v>15</c:v>
                </c:pt>
                <c:pt idx="10">
                  <c:v>30</c:v>
                </c:pt>
                <c:pt idx="11">
                  <c:v>49</c:v>
                </c:pt>
              </c:numCache>
            </c:numRef>
          </c:val>
        </c:ser>
        <c:ser>
          <c:idx val="6"/>
          <c:order val="6"/>
          <c:tx>
            <c:v>Icó</c:v>
          </c:tx>
          <c:cat>
            <c:strRef>
              <c:f>'sertão do chico'!$B$1:$M$1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 do chico'!$B$8:$M$8</c:f>
              <c:numCache>
                <c:formatCode>General</c:formatCode>
                <c:ptCount val="12"/>
                <c:pt idx="0">
                  <c:v>26</c:v>
                </c:pt>
                <c:pt idx="1">
                  <c:v>20</c:v>
                </c:pt>
                <c:pt idx="2">
                  <c:v>29</c:v>
                </c:pt>
                <c:pt idx="3">
                  <c:v>14</c:v>
                </c:pt>
                <c:pt idx="4">
                  <c:v>9</c:v>
                </c:pt>
                <c:pt idx="5">
                  <c:v>13</c:v>
                </c:pt>
                <c:pt idx="6">
                  <c:v>11</c:v>
                </c:pt>
                <c:pt idx="7">
                  <c:v>9</c:v>
                </c:pt>
                <c:pt idx="8">
                  <c:v>3</c:v>
                </c:pt>
                <c:pt idx="9">
                  <c:v>1</c:v>
                </c:pt>
                <c:pt idx="10">
                  <c:v>27</c:v>
                </c:pt>
                <c:pt idx="11">
                  <c:v>15</c:v>
                </c:pt>
              </c:numCache>
            </c:numRef>
          </c:val>
        </c:ser>
        <c:ser>
          <c:idx val="7"/>
          <c:order val="7"/>
          <c:tx>
            <c:v>Floresta</c:v>
          </c:tx>
          <c:spPr>
            <a:ln>
              <a:solidFill>
                <a:sysClr val="windowText" lastClr="000000"/>
              </a:solidFill>
            </a:ln>
          </c:spPr>
          <c:cat>
            <c:strRef>
              <c:f>'sertão do chico'!$B$1:$M$1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 do chico'!$B$9:$M$9</c:f>
              <c:numCache>
                <c:formatCode>General</c:formatCode>
                <c:ptCount val="12"/>
                <c:pt idx="0">
                  <c:v>23</c:v>
                </c:pt>
                <c:pt idx="1">
                  <c:v>50</c:v>
                </c:pt>
                <c:pt idx="2">
                  <c:v>28</c:v>
                </c:pt>
                <c:pt idx="3">
                  <c:v>32</c:v>
                </c:pt>
                <c:pt idx="4">
                  <c:v>18</c:v>
                </c:pt>
                <c:pt idx="5">
                  <c:v>10</c:v>
                </c:pt>
                <c:pt idx="6">
                  <c:v>9</c:v>
                </c:pt>
                <c:pt idx="7">
                  <c:v>4</c:v>
                </c:pt>
                <c:pt idx="8">
                  <c:v>3</c:v>
                </c:pt>
                <c:pt idx="9">
                  <c:v>13</c:v>
                </c:pt>
                <c:pt idx="10">
                  <c:v>17</c:v>
                </c:pt>
                <c:pt idx="11">
                  <c:v>20</c:v>
                </c:pt>
              </c:numCache>
            </c:numRef>
          </c:val>
        </c:ser>
        <c:ser>
          <c:idx val="8"/>
          <c:order val="8"/>
          <c:tx>
            <c:v>Tacaratu</c:v>
          </c:tx>
          <c:spPr>
            <a:ln>
              <a:solidFill>
                <a:sysClr val="windowText" lastClr="000000"/>
              </a:solidFill>
            </a:ln>
          </c:spPr>
          <c:cat>
            <c:strRef>
              <c:f>'sertão do chico'!$B$1:$M$1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'sertão do chico'!$B$10:$M$10</c:f>
              <c:numCache>
                <c:formatCode>General</c:formatCode>
                <c:ptCount val="12"/>
                <c:pt idx="0">
                  <c:v>31</c:v>
                </c:pt>
                <c:pt idx="1">
                  <c:v>37</c:v>
                </c:pt>
                <c:pt idx="2">
                  <c:v>46</c:v>
                </c:pt>
                <c:pt idx="3">
                  <c:v>32</c:v>
                </c:pt>
                <c:pt idx="4">
                  <c:v>25</c:v>
                </c:pt>
                <c:pt idx="5">
                  <c:v>26</c:v>
                </c:pt>
                <c:pt idx="6">
                  <c:v>10</c:v>
                </c:pt>
                <c:pt idx="7">
                  <c:v>16</c:v>
                </c:pt>
                <c:pt idx="8">
                  <c:v>22</c:v>
                </c:pt>
                <c:pt idx="9">
                  <c:v>19</c:v>
                </c:pt>
                <c:pt idx="10">
                  <c:v>28</c:v>
                </c:pt>
                <c:pt idx="11">
                  <c:v>15</c:v>
                </c:pt>
              </c:numCache>
            </c:numRef>
          </c:val>
        </c:ser>
        <c:axId val="142238848"/>
        <c:axId val="142240768"/>
      </c:barChart>
      <c:catAx>
        <c:axId val="142238848"/>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layout>
            <c:manualLayout>
              <c:xMode val="edge"/>
              <c:yMode val="edge"/>
              <c:x val="0.49347919093637188"/>
              <c:y val="0.72751495726495741"/>
            </c:manualLayout>
          </c:layout>
        </c:title>
        <c:majorTickMark val="none"/>
        <c:tickLblPos val="nextTo"/>
        <c:txPr>
          <a:bodyPr rot="-5400000" vert="horz"/>
          <a:lstStyle/>
          <a:p>
            <a:pPr>
              <a:defRPr sz="800">
                <a:latin typeface="Times New Roman" pitchFamily="18" charset="0"/>
                <a:cs typeface="Times New Roman" pitchFamily="18" charset="0"/>
              </a:defRPr>
            </a:pPr>
            <a:endParaRPr lang="pt-BR"/>
          </a:p>
        </c:txPr>
        <c:crossAx val="142240768"/>
        <c:crosses val="autoZero"/>
        <c:auto val="1"/>
        <c:lblAlgn val="ctr"/>
        <c:lblOffset val="100"/>
      </c:catAx>
      <c:valAx>
        <c:axId val="142240768"/>
        <c:scaling>
          <c:orientation val="minMax"/>
          <c:max val="350"/>
        </c:scaling>
        <c:axPos val="l"/>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Rainfall (mm)</a:t>
                </a:r>
              </a:p>
            </c:rich>
          </c:tx>
          <c:layout>
            <c:manualLayout>
              <c:xMode val="edge"/>
              <c:yMode val="edge"/>
              <c:x val="1.2251968503937009E-2"/>
              <c:y val="0.16063799717343033"/>
            </c:manualLayout>
          </c:layout>
        </c:title>
        <c:numFmt formatCode="General" sourceLinked="1"/>
        <c:tickLblPos val="nextTo"/>
        <c:txPr>
          <a:bodyPr/>
          <a:lstStyle/>
          <a:p>
            <a:pPr>
              <a:defRPr sz="800">
                <a:latin typeface="Times New Roman" pitchFamily="18" charset="0"/>
                <a:cs typeface="Times New Roman" pitchFamily="18" charset="0"/>
              </a:defRPr>
            </a:pPr>
            <a:endParaRPr lang="pt-BR"/>
          </a:p>
        </c:txPr>
        <c:crossAx val="142238848"/>
        <c:crosses val="autoZero"/>
        <c:crossBetween val="between"/>
      </c:valAx>
      <c:spPr>
        <a:ln>
          <a:noFill/>
        </a:ln>
      </c:spPr>
    </c:plotArea>
    <c:legend>
      <c:legendPos val="r"/>
      <c:layout>
        <c:manualLayout>
          <c:xMode val="edge"/>
          <c:yMode val="edge"/>
          <c:x val="6.7271087452855177E-2"/>
          <c:y val="0.8264831224232988"/>
          <c:w val="0.92230782002988765"/>
          <c:h val="0.16972924699800945"/>
        </c:manualLayout>
      </c:layout>
      <c:txPr>
        <a:bodyPr/>
        <a:lstStyle/>
        <a:p>
          <a:pPr>
            <a:defRPr sz="600">
              <a:latin typeface="Times New Roman" pitchFamily="18" charset="0"/>
              <a:cs typeface="Times New Roman" pitchFamily="18" charset="0"/>
            </a:defRPr>
          </a:pPr>
          <a:endParaRPr lang="pt-BR"/>
        </a:p>
      </c:txPr>
    </c:legend>
    <c:plotVisOnly val="1"/>
  </c:chart>
  <c:spPr>
    <a:ln>
      <a:noFill/>
    </a:ln>
  </c:sp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lang val="pt-BR"/>
  <c:chart>
    <c:autoTitleDeleted val="1"/>
    <c:plotArea>
      <c:layout>
        <c:manualLayout>
          <c:layoutTarget val="inner"/>
          <c:xMode val="edge"/>
          <c:yMode val="edge"/>
          <c:x val="0.13039940659591495"/>
          <c:y val="6.9506162273194116E-2"/>
          <c:w val="0.80382327209098992"/>
          <c:h val="0.53438676823005649"/>
        </c:manualLayout>
      </c:layout>
      <c:barChart>
        <c:barDir val="col"/>
        <c:grouping val="clustered"/>
        <c:ser>
          <c:idx val="0"/>
          <c:order val="0"/>
          <c:tx>
            <c:v>Araripina</c:v>
          </c:tx>
          <c:spPr>
            <a:ln>
              <a:solidFill>
                <a:sysClr val="windowText" lastClr="000000"/>
              </a:solidFill>
            </a:ln>
          </c:spP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sertao!$B$2:$M$2</c:f>
              <c:numCache>
                <c:formatCode>General</c:formatCode>
                <c:ptCount val="12"/>
                <c:pt idx="0">
                  <c:v>86</c:v>
                </c:pt>
                <c:pt idx="1">
                  <c:v>66</c:v>
                </c:pt>
                <c:pt idx="2">
                  <c:v>97</c:v>
                </c:pt>
                <c:pt idx="3">
                  <c:v>40</c:v>
                </c:pt>
                <c:pt idx="4">
                  <c:v>15</c:v>
                </c:pt>
                <c:pt idx="5">
                  <c:v>3</c:v>
                </c:pt>
                <c:pt idx="6">
                  <c:v>1</c:v>
                </c:pt>
                <c:pt idx="7">
                  <c:v>0</c:v>
                </c:pt>
                <c:pt idx="8">
                  <c:v>0</c:v>
                </c:pt>
                <c:pt idx="9">
                  <c:v>8</c:v>
                </c:pt>
                <c:pt idx="10">
                  <c:v>30</c:v>
                </c:pt>
                <c:pt idx="11">
                  <c:v>48</c:v>
                </c:pt>
              </c:numCache>
            </c:numRef>
          </c:val>
        </c:ser>
        <c:ser>
          <c:idx val="1"/>
          <c:order val="1"/>
          <c:tx>
            <c:v>S.J. Egito</c:v>
          </c:tx>
          <c:spPr>
            <a:ln>
              <a:solidFill>
                <a:sysClr val="windowText" lastClr="000000"/>
              </a:solidFill>
            </a:ln>
          </c:spP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sertao!$B$3:$M$3</c:f>
              <c:numCache>
                <c:formatCode>General</c:formatCode>
                <c:ptCount val="12"/>
                <c:pt idx="0">
                  <c:v>26</c:v>
                </c:pt>
                <c:pt idx="1">
                  <c:v>42</c:v>
                </c:pt>
                <c:pt idx="2">
                  <c:v>48</c:v>
                </c:pt>
                <c:pt idx="3">
                  <c:v>65</c:v>
                </c:pt>
                <c:pt idx="4">
                  <c:v>33</c:v>
                </c:pt>
                <c:pt idx="5">
                  <c:v>26</c:v>
                </c:pt>
                <c:pt idx="6">
                  <c:v>18</c:v>
                </c:pt>
                <c:pt idx="7">
                  <c:v>4</c:v>
                </c:pt>
                <c:pt idx="8">
                  <c:v>4</c:v>
                </c:pt>
                <c:pt idx="9">
                  <c:v>4</c:v>
                </c:pt>
                <c:pt idx="10">
                  <c:v>3</c:v>
                </c:pt>
                <c:pt idx="11">
                  <c:v>11</c:v>
                </c:pt>
              </c:numCache>
            </c:numRef>
          </c:val>
        </c:ser>
        <c:ser>
          <c:idx val="2"/>
          <c:order val="2"/>
          <c:tx>
            <c:v>Exu</c:v>
          </c:tx>
          <c:spPr>
            <a:ln>
              <a:solidFill>
                <a:sysClr val="windowText" lastClr="000000"/>
              </a:solidFill>
            </a:ln>
          </c:spP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sertao!$B$4:$M$4</c:f>
              <c:numCache>
                <c:formatCode>General</c:formatCode>
                <c:ptCount val="12"/>
                <c:pt idx="0">
                  <c:v>66</c:v>
                </c:pt>
                <c:pt idx="1">
                  <c:v>46</c:v>
                </c:pt>
                <c:pt idx="2">
                  <c:v>76</c:v>
                </c:pt>
                <c:pt idx="3">
                  <c:v>53</c:v>
                </c:pt>
                <c:pt idx="4">
                  <c:v>28</c:v>
                </c:pt>
                <c:pt idx="5">
                  <c:v>12</c:v>
                </c:pt>
                <c:pt idx="6">
                  <c:v>10</c:v>
                </c:pt>
                <c:pt idx="7">
                  <c:v>9</c:v>
                </c:pt>
                <c:pt idx="8">
                  <c:v>2</c:v>
                </c:pt>
                <c:pt idx="9">
                  <c:v>16</c:v>
                </c:pt>
                <c:pt idx="10">
                  <c:v>16</c:v>
                </c:pt>
                <c:pt idx="11">
                  <c:v>44</c:v>
                </c:pt>
              </c:numCache>
            </c:numRef>
          </c:val>
        </c:ser>
        <c:ser>
          <c:idx val="3"/>
          <c:order val="3"/>
          <c:tx>
            <c:v>S.J. Belmonte</c:v>
          </c:tx>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sertao!$B$5:$M$5</c:f>
              <c:numCache>
                <c:formatCode>General</c:formatCode>
                <c:ptCount val="12"/>
                <c:pt idx="0">
                  <c:v>51</c:v>
                </c:pt>
                <c:pt idx="1">
                  <c:v>59</c:v>
                </c:pt>
                <c:pt idx="2">
                  <c:v>64</c:v>
                </c:pt>
                <c:pt idx="3">
                  <c:v>57</c:v>
                </c:pt>
                <c:pt idx="4">
                  <c:v>22</c:v>
                </c:pt>
                <c:pt idx="5">
                  <c:v>16</c:v>
                </c:pt>
                <c:pt idx="6">
                  <c:v>6</c:v>
                </c:pt>
                <c:pt idx="7">
                  <c:v>1</c:v>
                </c:pt>
                <c:pt idx="8">
                  <c:v>2</c:v>
                </c:pt>
                <c:pt idx="9">
                  <c:v>13</c:v>
                </c:pt>
                <c:pt idx="10">
                  <c:v>9</c:v>
                </c:pt>
                <c:pt idx="11">
                  <c:v>37</c:v>
                </c:pt>
              </c:numCache>
            </c:numRef>
          </c:val>
        </c:ser>
        <c:ser>
          <c:idx val="4"/>
          <c:order val="4"/>
          <c:tx>
            <c:v>Verdejante</c:v>
          </c:tx>
          <c:spPr>
            <a:ln>
              <a:solidFill>
                <a:sysClr val="windowText" lastClr="000000"/>
              </a:solidFill>
            </a:ln>
          </c:spP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sertao!$B$6:$M$6</c:f>
              <c:numCache>
                <c:formatCode>General</c:formatCode>
                <c:ptCount val="12"/>
                <c:pt idx="0">
                  <c:v>41</c:v>
                </c:pt>
                <c:pt idx="1">
                  <c:v>52</c:v>
                </c:pt>
                <c:pt idx="2">
                  <c:v>67</c:v>
                </c:pt>
                <c:pt idx="3">
                  <c:v>37</c:v>
                </c:pt>
                <c:pt idx="4">
                  <c:v>9</c:v>
                </c:pt>
                <c:pt idx="5">
                  <c:v>7</c:v>
                </c:pt>
                <c:pt idx="6">
                  <c:v>0</c:v>
                </c:pt>
                <c:pt idx="7">
                  <c:v>0</c:v>
                </c:pt>
                <c:pt idx="8">
                  <c:v>0</c:v>
                </c:pt>
                <c:pt idx="9">
                  <c:v>1</c:v>
                </c:pt>
                <c:pt idx="10">
                  <c:v>6</c:v>
                </c:pt>
                <c:pt idx="11">
                  <c:v>31</c:v>
                </c:pt>
              </c:numCache>
            </c:numRef>
          </c:val>
        </c:ser>
        <c:ser>
          <c:idx val="5"/>
          <c:order val="5"/>
          <c:tx>
            <c:v>Parnamirim</c:v>
          </c:tx>
          <c:spPr>
            <a:ln>
              <a:solidFill>
                <a:sysClr val="windowText" lastClr="000000"/>
              </a:solidFill>
            </a:ln>
          </c:spP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sertao!$B$7:$M$7</c:f>
              <c:numCache>
                <c:formatCode>General</c:formatCode>
                <c:ptCount val="12"/>
                <c:pt idx="0">
                  <c:v>63</c:v>
                </c:pt>
                <c:pt idx="1">
                  <c:v>50</c:v>
                </c:pt>
                <c:pt idx="2">
                  <c:v>77</c:v>
                </c:pt>
                <c:pt idx="3">
                  <c:v>41</c:v>
                </c:pt>
                <c:pt idx="4">
                  <c:v>19</c:v>
                </c:pt>
                <c:pt idx="5">
                  <c:v>7</c:v>
                </c:pt>
                <c:pt idx="6">
                  <c:v>3</c:v>
                </c:pt>
                <c:pt idx="7">
                  <c:v>3</c:v>
                </c:pt>
                <c:pt idx="8">
                  <c:v>6</c:v>
                </c:pt>
                <c:pt idx="9">
                  <c:v>26</c:v>
                </c:pt>
                <c:pt idx="10">
                  <c:v>13</c:v>
                </c:pt>
                <c:pt idx="11">
                  <c:v>33</c:v>
                </c:pt>
              </c:numCache>
            </c:numRef>
          </c:val>
        </c:ser>
        <c:ser>
          <c:idx val="6"/>
          <c:order val="6"/>
          <c:tx>
            <c:v>Salgueiro</c:v>
          </c:tx>
          <c:spPr>
            <a:ln>
              <a:solidFill>
                <a:sysClr val="windowText" lastClr="000000"/>
              </a:solidFill>
            </a:ln>
          </c:spP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sertao!$B$8:$M$8</c:f>
              <c:numCache>
                <c:formatCode>General</c:formatCode>
                <c:ptCount val="12"/>
                <c:pt idx="0">
                  <c:v>47</c:v>
                </c:pt>
                <c:pt idx="1">
                  <c:v>58</c:v>
                </c:pt>
                <c:pt idx="2">
                  <c:v>79</c:v>
                </c:pt>
                <c:pt idx="3">
                  <c:v>47</c:v>
                </c:pt>
                <c:pt idx="4">
                  <c:v>18</c:v>
                </c:pt>
                <c:pt idx="5">
                  <c:v>5</c:v>
                </c:pt>
                <c:pt idx="6">
                  <c:v>4</c:v>
                </c:pt>
                <c:pt idx="7">
                  <c:v>6</c:v>
                </c:pt>
                <c:pt idx="8">
                  <c:v>5</c:v>
                </c:pt>
                <c:pt idx="9">
                  <c:v>16</c:v>
                </c:pt>
                <c:pt idx="10">
                  <c:v>27</c:v>
                </c:pt>
                <c:pt idx="11">
                  <c:v>50</c:v>
                </c:pt>
              </c:numCache>
            </c:numRef>
          </c:val>
        </c:ser>
        <c:ser>
          <c:idx val="7"/>
          <c:order val="7"/>
          <c:tx>
            <c:v>Moxotó</c:v>
          </c:tx>
          <c:spPr>
            <a:ln>
              <a:solidFill>
                <a:sysClr val="windowText" lastClr="000000"/>
              </a:solidFill>
            </a:ln>
          </c:spP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sertao!$B$9:$M$9</c:f>
              <c:numCache>
                <c:formatCode>General</c:formatCode>
                <c:ptCount val="12"/>
                <c:pt idx="0">
                  <c:v>29</c:v>
                </c:pt>
                <c:pt idx="1">
                  <c:v>23</c:v>
                </c:pt>
                <c:pt idx="2">
                  <c:v>31</c:v>
                </c:pt>
                <c:pt idx="3">
                  <c:v>35</c:v>
                </c:pt>
                <c:pt idx="4">
                  <c:v>16</c:v>
                </c:pt>
                <c:pt idx="5">
                  <c:v>15</c:v>
                </c:pt>
                <c:pt idx="6">
                  <c:v>12</c:v>
                </c:pt>
                <c:pt idx="7">
                  <c:v>8</c:v>
                </c:pt>
                <c:pt idx="8">
                  <c:v>2</c:v>
                </c:pt>
                <c:pt idx="9">
                  <c:v>1</c:v>
                </c:pt>
                <c:pt idx="10">
                  <c:v>14</c:v>
                </c:pt>
                <c:pt idx="11">
                  <c:v>28</c:v>
                </c:pt>
              </c:numCache>
            </c:numRef>
          </c:val>
        </c:ser>
        <c:ser>
          <c:idx val="8"/>
          <c:order val="8"/>
          <c:tx>
            <c:v>Arcoverde</c:v>
          </c:tx>
          <c:spPr>
            <a:ln>
              <a:solidFill>
                <a:sysClr val="windowText" lastClr="000000"/>
              </a:solidFill>
            </a:ln>
          </c:spP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sertao!$B$10:$M$10</c:f>
              <c:numCache>
                <c:formatCode>General</c:formatCode>
                <c:ptCount val="12"/>
                <c:pt idx="0">
                  <c:v>13</c:v>
                </c:pt>
                <c:pt idx="1">
                  <c:v>24</c:v>
                </c:pt>
                <c:pt idx="2">
                  <c:v>47</c:v>
                </c:pt>
                <c:pt idx="3">
                  <c:v>29</c:v>
                </c:pt>
                <c:pt idx="4">
                  <c:v>32</c:v>
                </c:pt>
                <c:pt idx="5">
                  <c:v>21</c:v>
                </c:pt>
                <c:pt idx="6">
                  <c:v>36</c:v>
                </c:pt>
                <c:pt idx="7">
                  <c:v>34</c:v>
                </c:pt>
                <c:pt idx="8">
                  <c:v>9</c:v>
                </c:pt>
                <c:pt idx="9">
                  <c:v>8</c:v>
                </c:pt>
                <c:pt idx="10">
                  <c:v>7</c:v>
                </c:pt>
                <c:pt idx="11">
                  <c:v>8</c:v>
                </c:pt>
              </c:numCache>
            </c:numRef>
          </c:val>
        </c:ser>
        <c:ser>
          <c:idx val="9"/>
          <c:order val="9"/>
          <c:tx>
            <c:v>Caiçara</c:v>
          </c:tx>
          <c:spPr>
            <a:ln>
              <a:solidFill>
                <a:sysClr val="windowText" lastClr="000000"/>
              </a:solidFill>
            </a:ln>
          </c:spPr>
          <c:cat>
            <c:strRef>
              <c:f>sertao!$B$1:$M$1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sertao!$B$11:$M$11</c:f>
              <c:numCache>
                <c:formatCode>General</c:formatCode>
                <c:ptCount val="12"/>
                <c:pt idx="0">
                  <c:v>44</c:v>
                </c:pt>
                <c:pt idx="1">
                  <c:v>46</c:v>
                </c:pt>
                <c:pt idx="2">
                  <c:v>58</c:v>
                </c:pt>
                <c:pt idx="3">
                  <c:v>66</c:v>
                </c:pt>
                <c:pt idx="4">
                  <c:v>68</c:v>
                </c:pt>
                <c:pt idx="5">
                  <c:v>18</c:v>
                </c:pt>
                <c:pt idx="6">
                  <c:v>14</c:v>
                </c:pt>
                <c:pt idx="7">
                  <c:v>4</c:v>
                </c:pt>
                <c:pt idx="8">
                  <c:v>14</c:v>
                </c:pt>
                <c:pt idx="9">
                  <c:v>22</c:v>
                </c:pt>
                <c:pt idx="10">
                  <c:v>13</c:v>
                </c:pt>
                <c:pt idx="11">
                  <c:v>67</c:v>
                </c:pt>
              </c:numCache>
            </c:numRef>
          </c:val>
        </c:ser>
        <c:axId val="142301056"/>
        <c:axId val="142307328"/>
      </c:barChart>
      <c:catAx>
        <c:axId val="142301056"/>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layout>
            <c:manualLayout>
              <c:xMode val="edge"/>
              <c:yMode val="edge"/>
              <c:x val="0.50768727473344166"/>
              <c:y val="0.73777465217711791"/>
            </c:manualLayout>
          </c:layout>
        </c:title>
        <c:majorTickMark val="none"/>
        <c:tickLblPos val="nextTo"/>
        <c:txPr>
          <a:bodyPr rot="-5400000" vert="horz"/>
          <a:lstStyle/>
          <a:p>
            <a:pPr>
              <a:defRPr sz="800">
                <a:latin typeface="Times New Roman" pitchFamily="18" charset="0"/>
                <a:cs typeface="Times New Roman" pitchFamily="18" charset="0"/>
              </a:defRPr>
            </a:pPr>
            <a:endParaRPr lang="pt-BR"/>
          </a:p>
        </c:txPr>
        <c:crossAx val="142307328"/>
        <c:crosses val="autoZero"/>
        <c:auto val="1"/>
        <c:lblAlgn val="ctr"/>
        <c:lblOffset val="100"/>
      </c:catAx>
      <c:valAx>
        <c:axId val="142307328"/>
        <c:scaling>
          <c:orientation val="minMax"/>
          <c:max val="350"/>
        </c:scaling>
        <c:axPos val="l"/>
        <c:numFmt formatCode="General" sourceLinked="1"/>
        <c:tickLblPos val="nextTo"/>
        <c:txPr>
          <a:bodyPr/>
          <a:lstStyle/>
          <a:p>
            <a:pPr>
              <a:defRPr sz="800">
                <a:latin typeface="Times New Roman" pitchFamily="18" charset="0"/>
                <a:cs typeface="Times New Roman" pitchFamily="18" charset="0"/>
              </a:defRPr>
            </a:pPr>
            <a:endParaRPr lang="pt-BR"/>
          </a:p>
        </c:txPr>
        <c:crossAx val="142301056"/>
        <c:crosses val="autoZero"/>
        <c:crossBetween val="between"/>
      </c:valAx>
    </c:plotArea>
    <c:legend>
      <c:legendPos val="r"/>
      <c:layout>
        <c:manualLayout>
          <c:xMode val="edge"/>
          <c:yMode val="edge"/>
          <c:x val="6.9167360538819972E-2"/>
          <c:y val="0.83637162181488223"/>
          <c:w val="0.92178677836999279"/>
          <c:h val="0.16318565223131917"/>
        </c:manualLayout>
      </c:layout>
      <c:txPr>
        <a:bodyPr/>
        <a:lstStyle/>
        <a:p>
          <a:pPr>
            <a:defRPr sz="600"/>
          </a:pPr>
          <a:endParaRPr lang="pt-BR"/>
        </a:p>
      </c:txPr>
    </c:legend>
    <c:plotVisOnly val="1"/>
  </c:chart>
  <c:spPr>
    <a:ln>
      <a:noFill/>
    </a:ln>
  </c:spPr>
  <c:txPr>
    <a:bodyPr/>
    <a:lstStyle/>
    <a:p>
      <a:pPr>
        <a:defRPr>
          <a:latin typeface="Times New Roman" pitchFamily="18" charset="0"/>
          <a:cs typeface="Times New Roman" pitchFamily="18" charset="0"/>
        </a:defRPr>
      </a:pPr>
      <a:endParaRPr lang="pt-BR"/>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lang val="pt-BR"/>
  <c:style val="1"/>
  <c:chart>
    <c:plotArea>
      <c:layout>
        <c:manualLayout>
          <c:layoutTarget val="inner"/>
          <c:xMode val="edge"/>
          <c:yMode val="edge"/>
          <c:x val="0.18428263173834064"/>
          <c:y val="3.3003077926067846E-2"/>
          <c:w val="0.7532336462749859"/>
          <c:h val="0.55934383202099791"/>
        </c:manualLayout>
      </c:layout>
      <c:lineChart>
        <c:grouping val="standard"/>
        <c:ser>
          <c:idx val="0"/>
          <c:order val="0"/>
          <c:tx>
            <c:v>Barreiros</c:v>
          </c:tx>
          <c:spPr>
            <a:ln w="3175">
              <a:solidFill>
                <a:prstClr val="black"/>
              </a:solidFill>
            </a:ln>
          </c:spPr>
          <c:marker>
            <c:spPr>
              <a:noFill/>
              <a:ln w="6350">
                <a:solidFill>
                  <a:prstClr val="black"/>
                </a:solidFill>
              </a:ln>
            </c:spPr>
          </c:marker>
          <c:cat>
            <c:strRef>
              <c:f>'zona da mata'!$B$1:$M$1</c:f>
              <c:strCache>
                <c:ptCount val="12"/>
                <c:pt idx="0">
                  <c:v>jan </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mata'!$B$2:$M$2</c:f>
              <c:numCache>
                <c:formatCode>General</c:formatCode>
                <c:ptCount val="12"/>
                <c:pt idx="0">
                  <c:v>148.1</c:v>
                </c:pt>
                <c:pt idx="1">
                  <c:v>132</c:v>
                </c:pt>
                <c:pt idx="2">
                  <c:v>143.1</c:v>
                </c:pt>
                <c:pt idx="3">
                  <c:v>125.7</c:v>
                </c:pt>
                <c:pt idx="4">
                  <c:v>110.8</c:v>
                </c:pt>
                <c:pt idx="5">
                  <c:v>91.3</c:v>
                </c:pt>
                <c:pt idx="6">
                  <c:v>84.7</c:v>
                </c:pt>
                <c:pt idx="7">
                  <c:v>88.3</c:v>
                </c:pt>
                <c:pt idx="8">
                  <c:v>97.8</c:v>
                </c:pt>
                <c:pt idx="9">
                  <c:v>119.5</c:v>
                </c:pt>
                <c:pt idx="10">
                  <c:v>132.1</c:v>
                </c:pt>
                <c:pt idx="11">
                  <c:v>145.4</c:v>
                </c:pt>
              </c:numCache>
            </c:numRef>
          </c:val>
        </c:ser>
        <c:ser>
          <c:idx val="1"/>
          <c:order val="1"/>
          <c:tx>
            <c:v>Cortês</c:v>
          </c:tx>
          <c:spPr>
            <a:ln w="3175">
              <a:solidFill>
                <a:schemeClr val="tx1"/>
              </a:solidFill>
            </a:ln>
          </c:spPr>
          <c:marker>
            <c:spPr>
              <a:noFill/>
              <a:ln w="6350">
                <a:solidFill>
                  <a:prstClr val="black"/>
                </a:solidFill>
              </a:ln>
            </c:spPr>
          </c:marker>
          <c:cat>
            <c:strRef>
              <c:f>'zona da mata'!$B$1:$M$1</c:f>
              <c:strCache>
                <c:ptCount val="12"/>
                <c:pt idx="0">
                  <c:v>jan </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mata'!$B$3:$M$3</c:f>
              <c:numCache>
                <c:formatCode>General</c:formatCode>
                <c:ptCount val="12"/>
                <c:pt idx="0">
                  <c:v>122.5</c:v>
                </c:pt>
                <c:pt idx="1">
                  <c:v>109.1</c:v>
                </c:pt>
                <c:pt idx="2">
                  <c:v>117.3</c:v>
                </c:pt>
                <c:pt idx="3">
                  <c:v>106.2</c:v>
                </c:pt>
                <c:pt idx="4">
                  <c:v>94.7</c:v>
                </c:pt>
                <c:pt idx="5">
                  <c:v>78.2</c:v>
                </c:pt>
                <c:pt idx="6">
                  <c:v>71.900000000000006</c:v>
                </c:pt>
                <c:pt idx="7">
                  <c:v>74.099999999999994</c:v>
                </c:pt>
                <c:pt idx="8">
                  <c:v>82.2</c:v>
                </c:pt>
                <c:pt idx="9">
                  <c:v>101.9</c:v>
                </c:pt>
                <c:pt idx="10">
                  <c:v>110.3</c:v>
                </c:pt>
                <c:pt idx="11">
                  <c:v>121.8</c:v>
                </c:pt>
              </c:numCache>
            </c:numRef>
          </c:val>
        </c:ser>
        <c:ser>
          <c:idx val="2"/>
          <c:order val="2"/>
          <c:tx>
            <c:v>Escada</c:v>
          </c:tx>
          <c:spPr>
            <a:ln w="3175">
              <a:solidFill>
                <a:schemeClr val="tx1"/>
              </a:solidFill>
            </a:ln>
          </c:spPr>
          <c:marker>
            <c:spPr>
              <a:noFill/>
              <a:ln w="6350">
                <a:solidFill>
                  <a:schemeClr val="tx1"/>
                </a:solidFill>
              </a:ln>
            </c:spPr>
          </c:marker>
          <c:cat>
            <c:strRef>
              <c:f>'zona da mata'!$B$1:$M$1</c:f>
              <c:strCache>
                <c:ptCount val="12"/>
                <c:pt idx="0">
                  <c:v>jan </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mata'!$B$4:$M$4</c:f>
              <c:numCache>
                <c:formatCode>General</c:formatCode>
                <c:ptCount val="12"/>
                <c:pt idx="0">
                  <c:v>140.69999999999999</c:v>
                </c:pt>
                <c:pt idx="1">
                  <c:v>125.4</c:v>
                </c:pt>
                <c:pt idx="2">
                  <c:v>134.69999999999999</c:v>
                </c:pt>
                <c:pt idx="3">
                  <c:v>120</c:v>
                </c:pt>
                <c:pt idx="4">
                  <c:v>107.4</c:v>
                </c:pt>
                <c:pt idx="5">
                  <c:v>90.2</c:v>
                </c:pt>
                <c:pt idx="6">
                  <c:v>83.8</c:v>
                </c:pt>
                <c:pt idx="7">
                  <c:v>87.3</c:v>
                </c:pt>
                <c:pt idx="8">
                  <c:v>96.2</c:v>
                </c:pt>
                <c:pt idx="9">
                  <c:v>117.2</c:v>
                </c:pt>
                <c:pt idx="10">
                  <c:v>127.7</c:v>
                </c:pt>
                <c:pt idx="11">
                  <c:v>139.9</c:v>
                </c:pt>
              </c:numCache>
            </c:numRef>
          </c:val>
        </c:ser>
        <c:ser>
          <c:idx val="3"/>
          <c:order val="3"/>
          <c:tx>
            <c:v>Gameleira</c:v>
          </c:tx>
          <c:spPr>
            <a:ln w="3175">
              <a:solidFill>
                <a:prstClr val="black"/>
              </a:solidFill>
            </a:ln>
          </c:spPr>
          <c:marker>
            <c:spPr>
              <a:noFill/>
              <a:ln w="6350">
                <a:solidFill>
                  <a:prstClr val="black"/>
                </a:solidFill>
              </a:ln>
            </c:spPr>
          </c:marker>
          <c:cat>
            <c:strRef>
              <c:f>'zona da mata'!$B$1:$M$1</c:f>
              <c:strCache>
                <c:ptCount val="12"/>
                <c:pt idx="0">
                  <c:v>jan </c:v>
                </c:pt>
                <c:pt idx="1">
                  <c:v>feb</c:v>
                </c:pt>
                <c:pt idx="2">
                  <c:v>mar</c:v>
                </c:pt>
                <c:pt idx="3">
                  <c:v>apr</c:v>
                </c:pt>
                <c:pt idx="4">
                  <c:v>may</c:v>
                </c:pt>
                <c:pt idx="5">
                  <c:v>jun</c:v>
                </c:pt>
                <c:pt idx="6">
                  <c:v>jul</c:v>
                </c:pt>
                <c:pt idx="7">
                  <c:v>aug</c:v>
                </c:pt>
                <c:pt idx="8">
                  <c:v>sep</c:v>
                </c:pt>
                <c:pt idx="9">
                  <c:v>oct</c:v>
                </c:pt>
                <c:pt idx="10">
                  <c:v>nov</c:v>
                </c:pt>
                <c:pt idx="11">
                  <c:v>dec</c:v>
                </c:pt>
              </c:strCache>
            </c:strRef>
          </c:cat>
          <c:val>
            <c:numRef>
              <c:f>'zona da mata'!$B$5:$M$5</c:f>
              <c:numCache>
                <c:formatCode>General</c:formatCode>
                <c:ptCount val="12"/>
                <c:pt idx="0">
                  <c:v>142.80000000000001</c:v>
                </c:pt>
                <c:pt idx="1">
                  <c:v>125.3</c:v>
                </c:pt>
                <c:pt idx="2">
                  <c:v>137.9</c:v>
                </c:pt>
                <c:pt idx="3">
                  <c:v>121.4</c:v>
                </c:pt>
                <c:pt idx="4">
                  <c:v>108.6</c:v>
                </c:pt>
                <c:pt idx="5">
                  <c:v>89.9</c:v>
                </c:pt>
                <c:pt idx="6">
                  <c:v>83.2</c:v>
                </c:pt>
                <c:pt idx="7">
                  <c:v>87.1</c:v>
                </c:pt>
                <c:pt idx="8">
                  <c:v>96</c:v>
                </c:pt>
                <c:pt idx="9">
                  <c:v>118.6</c:v>
                </c:pt>
                <c:pt idx="10">
                  <c:v>129.19999999999999</c:v>
                </c:pt>
                <c:pt idx="11">
                  <c:v>141.5</c:v>
                </c:pt>
              </c:numCache>
            </c:numRef>
          </c:val>
        </c:ser>
        <c:ser>
          <c:idx val="4"/>
          <c:order val="4"/>
          <c:tx>
            <c:v>Palmares</c:v>
          </c:tx>
          <c:spPr>
            <a:ln w="3175">
              <a:solidFill>
                <a:prstClr val="black"/>
              </a:solidFill>
            </a:ln>
          </c:spPr>
          <c:marker>
            <c:symbol val="star"/>
            <c:size val="5"/>
            <c:spPr>
              <a:ln w="6350">
                <a:solidFill>
                  <a:prstClr val="black"/>
                </a:solidFill>
              </a:ln>
            </c:spPr>
          </c:marker>
          <c:val>
            <c:numRef>
              <c:f>'zona da mata'!$B$6:$M$6</c:f>
              <c:numCache>
                <c:formatCode>General</c:formatCode>
                <c:ptCount val="12"/>
                <c:pt idx="0">
                  <c:v>118.5</c:v>
                </c:pt>
                <c:pt idx="1">
                  <c:v>99.1</c:v>
                </c:pt>
                <c:pt idx="2">
                  <c:v>97.8</c:v>
                </c:pt>
                <c:pt idx="3">
                  <c:v>81.599999999999994</c:v>
                </c:pt>
                <c:pt idx="4">
                  <c:v>66.900000000000006</c:v>
                </c:pt>
                <c:pt idx="5">
                  <c:v>53.1</c:v>
                </c:pt>
                <c:pt idx="6">
                  <c:v>50.9</c:v>
                </c:pt>
                <c:pt idx="7">
                  <c:v>57</c:v>
                </c:pt>
                <c:pt idx="8">
                  <c:v>71.900000000000006</c:v>
                </c:pt>
                <c:pt idx="9">
                  <c:v>96.9</c:v>
                </c:pt>
                <c:pt idx="10">
                  <c:v>110.3</c:v>
                </c:pt>
                <c:pt idx="11">
                  <c:v>122</c:v>
                </c:pt>
              </c:numCache>
            </c:numRef>
          </c:val>
        </c:ser>
        <c:ser>
          <c:idx val="5"/>
          <c:order val="5"/>
          <c:tx>
            <c:v>Primavera</c:v>
          </c:tx>
          <c:spPr>
            <a:ln w="3175">
              <a:solidFill>
                <a:prstClr val="black"/>
              </a:solidFill>
            </a:ln>
          </c:spPr>
          <c:marker>
            <c:spPr>
              <a:noFill/>
              <a:ln w="6350">
                <a:solidFill>
                  <a:prstClr val="black"/>
                </a:solidFill>
              </a:ln>
            </c:spPr>
          </c:marker>
          <c:val>
            <c:numRef>
              <c:f>'zona da mata'!$B$7:$M$7</c:f>
              <c:numCache>
                <c:formatCode>General</c:formatCode>
                <c:ptCount val="12"/>
                <c:pt idx="0">
                  <c:v>136</c:v>
                </c:pt>
                <c:pt idx="1">
                  <c:v>121.1</c:v>
                </c:pt>
                <c:pt idx="2">
                  <c:v>130.1</c:v>
                </c:pt>
                <c:pt idx="3">
                  <c:v>117.5</c:v>
                </c:pt>
                <c:pt idx="4">
                  <c:v>104</c:v>
                </c:pt>
                <c:pt idx="5">
                  <c:v>87.5</c:v>
                </c:pt>
                <c:pt idx="6">
                  <c:v>81.400000000000006</c:v>
                </c:pt>
                <c:pt idx="7">
                  <c:v>84.8</c:v>
                </c:pt>
                <c:pt idx="8">
                  <c:v>93.3</c:v>
                </c:pt>
                <c:pt idx="9">
                  <c:v>113.5</c:v>
                </c:pt>
                <c:pt idx="10">
                  <c:v>123.5</c:v>
                </c:pt>
                <c:pt idx="11">
                  <c:v>136.4</c:v>
                </c:pt>
              </c:numCache>
            </c:numRef>
          </c:val>
        </c:ser>
        <c:ser>
          <c:idx val="6"/>
          <c:order val="6"/>
          <c:tx>
            <c:v>Rio Formoso</c:v>
          </c:tx>
          <c:spPr>
            <a:ln w="3175">
              <a:solidFill>
                <a:schemeClr val="tx1"/>
              </a:solidFill>
            </a:ln>
          </c:spPr>
          <c:marker>
            <c:spPr>
              <a:noFill/>
              <a:ln w="6350">
                <a:solidFill>
                  <a:schemeClr val="tx1"/>
                </a:solidFill>
              </a:ln>
            </c:spPr>
          </c:marker>
          <c:val>
            <c:numRef>
              <c:f>'zona da mata'!$B$8:$M$8</c:f>
              <c:numCache>
                <c:formatCode>General</c:formatCode>
                <c:ptCount val="12"/>
                <c:pt idx="0">
                  <c:v>144.9</c:v>
                </c:pt>
                <c:pt idx="1">
                  <c:v>128.69999999999999</c:v>
                </c:pt>
                <c:pt idx="2">
                  <c:v>137.80000000000001</c:v>
                </c:pt>
                <c:pt idx="3">
                  <c:v>124.4</c:v>
                </c:pt>
                <c:pt idx="4">
                  <c:v>109.7</c:v>
                </c:pt>
                <c:pt idx="5">
                  <c:v>90.5</c:v>
                </c:pt>
                <c:pt idx="6">
                  <c:v>84</c:v>
                </c:pt>
                <c:pt idx="7">
                  <c:v>87.9</c:v>
                </c:pt>
                <c:pt idx="8">
                  <c:v>96.9</c:v>
                </c:pt>
                <c:pt idx="9">
                  <c:v>118.3</c:v>
                </c:pt>
                <c:pt idx="10">
                  <c:v>130.69999999999999</c:v>
                </c:pt>
                <c:pt idx="11">
                  <c:v>143.19999999999999</c:v>
                </c:pt>
              </c:numCache>
            </c:numRef>
          </c:val>
        </c:ser>
        <c:ser>
          <c:idx val="7"/>
          <c:order val="7"/>
          <c:tx>
            <c:v>Buenos Aires</c:v>
          </c:tx>
          <c:spPr>
            <a:ln w="3175">
              <a:solidFill>
                <a:sysClr val="windowText" lastClr="000000"/>
              </a:solidFill>
            </a:ln>
          </c:spPr>
          <c:marker>
            <c:spPr>
              <a:noFill/>
              <a:ln w="6350">
                <a:solidFill>
                  <a:sysClr val="windowText" lastClr="000000"/>
                </a:solidFill>
              </a:ln>
            </c:spPr>
          </c:marker>
          <c:val>
            <c:numRef>
              <c:f>'zona da mata'!$B$9:$M$9</c:f>
              <c:numCache>
                <c:formatCode>General</c:formatCode>
                <c:ptCount val="12"/>
                <c:pt idx="0">
                  <c:v>158.1</c:v>
                </c:pt>
                <c:pt idx="1">
                  <c:v>132.6</c:v>
                </c:pt>
                <c:pt idx="2">
                  <c:v>132.30000000000001</c:v>
                </c:pt>
                <c:pt idx="3">
                  <c:v>110</c:v>
                </c:pt>
                <c:pt idx="4">
                  <c:v>92.7</c:v>
                </c:pt>
                <c:pt idx="5">
                  <c:v>74.599999999999994</c:v>
                </c:pt>
                <c:pt idx="6">
                  <c:v>72.400000000000006</c:v>
                </c:pt>
                <c:pt idx="7">
                  <c:v>80.8</c:v>
                </c:pt>
                <c:pt idx="8">
                  <c:v>96.4</c:v>
                </c:pt>
                <c:pt idx="9">
                  <c:v>124.4</c:v>
                </c:pt>
                <c:pt idx="10">
                  <c:v>141.69999999999999</c:v>
                </c:pt>
                <c:pt idx="11">
                  <c:v>158.69999999999999</c:v>
                </c:pt>
              </c:numCache>
            </c:numRef>
          </c:val>
        </c:ser>
        <c:ser>
          <c:idx val="8"/>
          <c:order val="8"/>
          <c:tx>
            <c:v>Carpina</c:v>
          </c:tx>
          <c:spPr>
            <a:ln w="3175">
              <a:solidFill>
                <a:sysClr val="windowText" lastClr="000000"/>
              </a:solidFill>
            </a:ln>
          </c:spPr>
          <c:marker>
            <c:spPr>
              <a:noFill/>
              <a:ln w="6350">
                <a:solidFill>
                  <a:sysClr val="windowText" lastClr="000000"/>
                </a:solidFill>
              </a:ln>
            </c:spPr>
          </c:marker>
          <c:val>
            <c:numRef>
              <c:f>'zona da mata'!$B$10:$M$10</c:f>
              <c:numCache>
                <c:formatCode>General</c:formatCode>
                <c:ptCount val="12"/>
                <c:pt idx="0">
                  <c:v>151.19999999999999</c:v>
                </c:pt>
                <c:pt idx="1">
                  <c:v>128.4</c:v>
                </c:pt>
                <c:pt idx="2">
                  <c:v>128.19999999999999</c:v>
                </c:pt>
                <c:pt idx="3">
                  <c:v>106.6</c:v>
                </c:pt>
                <c:pt idx="4">
                  <c:v>90.1</c:v>
                </c:pt>
                <c:pt idx="5">
                  <c:v>71.8</c:v>
                </c:pt>
                <c:pt idx="6">
                  <c:v>68.8</c:v>
                </c:pt>
                <c:pt idx="7">
                  <c:v>76.8</c:v>
                </c:pt>
                <c:pt idx="8">
                  <c:v>91.4</c:v>
                </c:pt>
                <c:pt idx="9">
                  <c:v>117.8</c:v>
                </c:pt>
                <c:pt idx="10">
                  <c:v>135.19999999999999</c:v>
                </c:pt>
                <c:pt idx="11">
                  <c:v>151.80000000000001</c:v>
                </c:pt>
              </c:numCache>
            </c:numRef>
          </c:val>
        </c:ser>
        <c:ser>
          <c:idx val="9"/>
          <c:order val="9"/>
          <c:tx>
            <c:v>Goiana</c:v>
          </c:tx>
          <c:spPr>
            <a:ln w="3175">
              <a:solidFill>
                <a:sysClr val="windowText" lastClr="000000"/>
              </a:solidFill>
            </a:ln>
          </c:spPr>
          <c:marker>
            <c:spPr>
              <a:noFill/>
              <a:ln w="6350">
                <a:solidFill>
                  <a:sysClr val="windowText" lastClr="000000"/>
                </a:solidFill>
              </a:ln>
            </c:spPr>
          </c:marker>
          <c:val>
            <c:numRef>
              <c:f>'zona da mata'!$B$11:$M$11</c:f>
              <c:numCache>
                <c:formatCode>General</c:formatCode>
                <c:ptCount val="12"/>
                <c:pt idx="0">
                  <c:v>159.80000000000001</c:v>
                </c:pt>
                <c:pt idx="1">
                  <c:v>135.69999999999999</c:v>
                </c:pt>
                <c:pt idx="2">
                  <c:v>135.4</c:v>
                </c:pt>
                <c:pt idx="3">
                  <c:v>112.9</c:v>
                </c:pt>
                <c:pt idx="4">
                  <c:v>95.9</c:v>
                </c:pt>
                <c:pt idx="5">
                  <c:v>77.099999999999994</c:v>
                </c:pt>
                <c:pt idx="6">
                  <c:v>74.099999999999994</c:v>
                </c:pt>
                <c:pt idx="7">
                  <c:v>82.4</c:v>
                </c:pt>
                <c:pt idx="8">
                  <c:v>98.4</c:v>
                </c:pt>
                <c:pt idx="9">
                  <c:v>127.2</c:v>
                </c:pt>
                <c:pt idx="10">
                  <c:v>144.5</c:v>
                </c:pt>
                <c:pt idx="11">
                  <c:v>162.4</c:v>
                </c:pt>
              </c:numCache>
            </c:numRef>
          </c:val>
        </c:ser>
        <c:ser>
          <c:idx val="11"/>
          <c:order val="10"/>
          <c:tx>
            <c:v>V. de Sto. Antão</c:v>
          </c:tx>
          <c:spPr>
            <a:ln w="3175">
              <a:solidFill>
                <a:sysClr val="windowText" lastClr="000000"/>
              </a:solidFill>
            </a:ln>
          </c:spPr>
          <c:marker>
            <c:spPr>
              <a:noFill/>
              <a:ln>
                <a:solidFill>
                  <a:sysClr val="windowText" lastClr="000000"/>
                </a:solidFill>
              </a:ln>
            </c:spPr>
          </c:marker>
          <c:val>
            <c:numRef>
              <c:f>'zona da mata'!$B$13:$M$13</c:f>
              <c:numCache>
                <c:formatCode>General</c:formatCode>
                <c:ptCount val="12"/>
                <c:pt idx="0">
                  <c:v>137.4</c:v>
                </c:pt>
                <c:pt idx="1">
                  <c:v>122.5</c:v>
                </c:pt>
                <c:pt idx="2">
                  <c:v>129.9</c:v>
                </c:pt>
                <c:pt idx="3">
                  <c:v>117.3</c:v>
                </c:pt>
                <c:pt idx="4">
                  <c:v>106.3</c:v>
                </c:pt>
                <c:pt idx="5">
                  <c:v>88.2</c:v>
                </c:pt>
                <c:pt idx="6">
                  <c:v>83.1</c:v>
                </c:pt>
                <c:pt idx="7">
                  <c:v>86.6</c:v>
                </c:pt>
                <c:pt idx="8">
                  <c:v>95.3</c:v>
                </c:pt>
                <c:pt idx="9">
                  <c:v>116</c:v>
                </c:pt>
                <c:pt idx="10">
                  <c:v>124.4</c:v>
                </c:pt>
                <c:pt idx="11">
                  <c:v>137.9</c:v>
                </c:pt>
              </c:numCache>
            </c:numRef>
          </c:val>
        </c:ser>
        <c:marker val="1"/>
        <c:axId val="142375552"/>
        <c:axId val="142394496"/>
      </c:lineChart>
      <c:catAx>
        <c:axId val="142375552"/>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layout>
            <c:manualLayout>
              <c:xMode val="edge"/>
              <c:yMode val="edge"/>
              <c:x val="0.49833055723803771"/>
              <c:y val="0.7108651696315742"/>
            </c:manualLayout>
          </c:layout>
          <c:spPr>
            <a:ln w="3175"/>
          </c:spPr>
        </c:title>
        <c:majorTickMark val="none"/>
        <c:minorTickMark val="out"/>
        <c:tickLblPos val="nextTo"/>
        <c:spPr>
          <a:ln>
            <a:solidFill>
              <a:schemeClr val="tx1"/>
            </a:solidFill>
          </a:ln>
        </c:spPr>
        <c:txPr>
          <a:bodyPr rot="-5400000" vert="horz"/>
          <a:lstStyle/>
          <a:p>
            <a:pPr>
              <a:defRPr sz="800">
                <a:latin typeface="Times New Roman" pitchFamily="18" charset="0"/>
                <a:cs typeface="Times New Roman" pitchFamily="18" charset="0"/>
              </a:defRPr>
            </a:pPr>
            <a:endParaRPr lang="pt-BR"/>
          </a:p>
        </c:txPr>
        <c:crossAx val="142394496"/>
        <c:crosses val="autoZero"/>
        <c:auto val="1"/>
        <c:lblAlgn val="ctr"/>
        <c:lblOffset val="100"/>
      </c:catAx>
      <c:valAx>
        <c:axId val="142394496"/>
        <c:scaling>
          <c:orientation val="minMax"/>
          <c:max val="210"/>
          <c:min val="50"/>
        </c:scaling>
        <c:axPos val="l"/>
        <c:title>
          <c:tx>
            <c:rich>
              <a:bodyPr/>
              <a:lstStyle/>
              <a:p>
                <a:pPr>
                  <a:defRPr sz="800">
                    <a:latin typeface="Times New Roman" pitchFamily="18" charset="0"/>
                    <a:cs typeface="Times New Roman" pitchFamily="18" charset="0"/>
                  </a:defRPr>
                </a:pPr>
                <a:r>
                  <a:rPr lang="pt-BR" sz="800" b="1" i="0" u="none" strike="noStrike" baseline="0"/>
                  <a:t>PET (mm month</a:t>
                </a:r>
                <a:r>
                  <a:rPr lang="pt-BR" sz="800" b="1" i="0" u="none" strike="noStrike" baseline="30000"/>
                  <a:t>-1</a:t>
                </a:r>
                <a:r>
                  <a:rPr lang="pt-BR" sz="800">
                    <a:latin typeface="Times New Roman" pitchFamily="18" charset="0"/>
                    <a:cs typeface="Times New Roman" pitchFamily="18" charset="0"/>
                  </a:rPr>
                  <a:t>)</a:t>
                </a:r>
              </a:p>
            </c:rich>
          </c:tx>
        </c:title>
        <c:numFmt formatCode="General" sourceLinked="1"/>
        <c:tickLblPos val="nextTo"/>
        <c:spPr>
          <a:ln>
            <a:solidFill>
              <a:schemeClr val="tx1"/>
            </a:solidFill>
          </a:ln>
        </c:spPr>
        <c:txPr>
          <a:bodyPr/>
          <a:lstStyle/>
          <a:p>
            <a:pPr>
              <a:defRPr sz="800">
                <a:latin typeface="Times New Roman" pitchFamily="18" charset="0"/>
                <a:cs typeface="Times New Roman" pitchFamily="18" charset="0"/>
              </a:defRPr>
            </a:pPr>
            <a:endParaRPr lang="pt-BR"/>
          </a:p>
        </c:txPr>
        <c:crossAx val="142375552"/>
        <c:crosses val="autoZero"/>
        <c:crossBetween val="between"/>
      </c:valAx>
    </c:plotArea>
    <c:legend>
      <c:legendPos val="r"/>
      <c:layout>
        <c:manualLayout>
          <c:xMode val="edge"/>
          <c:yMode val="edge"/>
          <c:x val="0"/>
          <c:y val="0.78191944444444461"/>
          <c:w val="0.99737626262626256"/>
          <c:h val="0.21808055555555556"/>
        </c:manualLayout>
      </c:layout>
      <c:txPr>
        <a:bodyPr/>
        <a:lstStyle/>
        <a:p>
          <a:pPr>
            <a:defRPr sz="700">
              <a:latin typeface="Times New Roman" pitchFamily="18" charset="0"/>
              <a:cs typeface="Times New Roman" pitchFamily="18" charset="0"/>
            </a:defRPr>
          </a:pPr>
          <a:endParaRPr lang="pt-BR"/>
        </a:p>
      </c:txPr>
    </c:legend>
    <c:plotVisOnly val="1"/>
  </c:chart>
  <c:spPr>
    <a:noFill/>
    <a:ln>
      <a:noFill/>
    </a:ln>
  </c:sp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lang val="pt-BR"/>
  <c:chart>
    <c:plotArea>
      <c:layout>
        <c:manualLayout>
          <c:layoutTarget val="inner"/>
          <c:xMode val="edge"/>
          <c:yMode val="edge"/>
          <c:x val="0.15846191701998791"/>
          <c:y val="3.929919196604878E-2"/>
          <c:w val="0.80224409448819112"/>
          <c:h val="0.55869141414141477"/>
        </c:manualLayout>
      </c:layout>
      <c:lineChart>
        <c:grouping val="standard"/>
        <c:ser>
          <c:idx val="0"/>
          <c:order val="0"/>
          <c:tx>
            <c:v>Alagoinha</c:v>
          </c:tx>
          <c:spPr>
            <a:ln w="3175">
              <a:solidFill>
                <a:sysClr val="windowText" lastClr="000000"/>
              </a:solidFill>
            </a:ln>
          </c:spPr>
          <c:marker>
            <c:spPr>
              <a:noFill/>
              <a:ln w="6350">
                <a:solidFill>
                  <a:sysClr val="windowText" lastClr="000000"/>
                </a:solidFill>
              </a:ln>
            </c:spPr>
          </c:marker>
          <c:cat>
            <c:strRef>
              <c:f>agreste!$B$1:$M$1</c:f>
              <c:strCache>
                <c:ptCount val="12"/>
                <c:pt idx="0">
                  <c:v>jan </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agreste!$B$3:$M$3</c:f>
              <c:numCache>
                <c:formatCode>General</c:formatCode>
                <c:ptCount val="12"/>
                <c:pt idx="0">
                  <c:v>118.5</c:v>
                </c:pt>
                <c:pt idx="1">
                  <c:v>99.1</c:v>
                </c:pt>
                <c:pt idx="2">
                  <c:v>97.8</c:v>
                </c:pt>
                <c:pt idx="3">
                  <c:v>81.599999999999994</c:v>
                </c:pt>
                <c:pt idx="4">
                  <c:v>66.900000000000006</c:v>
                </c:pt>
                <c:pt idx="5">
                  <c:v>53.1</c:v>
                </c:pt>
                <c:pt idx="6">
                  <c:v>50.9</c:v>
                </c:pt>
                <c:pt idx="7">
                  <c:v>57</c:v>
                </c:pt>
                <c:pt idx="8">
                  <c:v>71.900000000000006</c:v>
                </c:pt>
                <c:pt idx="9">
                  <c:v>96.9</c:v>
                </c:pt>
                <c:pt idx="10">
                  <c:v>110.3</c:v>
                </c:pt>
                <c:pt idx="11">
                  <c:v>122</c:v>
                </c:pt>
              </c:numCache>
            </c:numRef>
          </c:val>
        </c:ser>
        <c:ser>
          <c:idx val="1"/>
          <c:order val="1"/>
          <c:tx>
            <c:v>Bezerros</c:v>
          </c:tx>
          <c:spPr>
            <a:ln w="3175">
              <a:solidFill>
                <a:sysClr val="windowText" lastClr="000000"/>
              </a:solidFill>
            </a:ln>
          </c:spPr>
          <c:marker>
            <c:spPr>
              <a:noFill/>
              <a:ln w="6350">
                <a:solidFill>
                  <a:sysClr val="windowText" lastClr="000000"/>
                </a:solidFill>
              </a:ln>
            </c:spPr>
          </c:marker>
          <c:cat>
            <c:strRef>
              <c:f>agreste!$B$1:$M$1</c:f>
              <c:strCache>
                <c:ptCount val="12"/>
                <c:pt idx="0">
                  <c:v>jan </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agreste!$B$4:$M$4</c:f>
              <c:numCache>
                <c:formatCode>General</c:formatCode>
                <c:ptCount val="12"/>
                <c:pt idx="0">
                  <c:v>176.7</c:v>
                </c:pt>
                <c:pt idx="1">
                  <c:v>145.4</c:v>
                </c:pt>
                <c:pt idx="2">
                  <c:v>139.69999999999999</c:v>
                </c:pt>
                <c:pt idx="3">
                  <c:v>108.9</c:v>
                </c:pt>
                <c:pt idx="4">
                  <c:v>89.8</c:v>
                </c:pt>
                <c:pt idx="5">
                  <c:v>72.7</c:v>
                </c:pt>
                <c:pt idx="6">
                  <c:v>71.599999999999994</c:v>
                </c:pt>
                <c:pt idx="7">
                  <c:v>90.5</c:v>
                </c:pt>
                <c:pt idx="8">
                  <c:v>125.7</c:v>
                </c:pt>
                <c:pt idx="9">
                  <c:v>165.6</c:v>
                </c:pt>
                <c:pt idx="10">
                  <c:v>174.9</c:v>
                </c:pt>
                <c:pt idx="11">
                  <c:v>184.3</c:v>
                </c:pt>
              </c:numCache>
            </c:numRef>
          </c:val>
        </c:ser>
        <c:ser>
          <c:idx val="2"/>
          <c:order val="2"/>
          <c:tx>
            <c:v>Caruaru</c:v>
          </c:tx>
          <c:spPr>
            <a:ln w="3175">
              <a:solidFill>
                <a:sysClr val="windowText" lastClr="000000"/>
              </a:solidFill>
            </a:ln>
          </c:spPr>
          <c:marker>
            <c:spPr>
              <a:noFill/>
              <a:ln w="6350">
                <a:solidFill>
                  <a:sysClr val="windowText" lastClr="000000"/>
                </a:solidFill>
              </a:ln>
            </c:spPr>
          </c:marker>
          <c:cat>
            <c:strRef>
              <c:f>agreste!$B$1:$M$1</c:f>
              <c:strCache>
                <c:ptCount val="12"/>
                <c:pt idx="0">
                  <c:v>jan </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agreste!$B$5:$M$5</c:f>
              <c:numCache>
                <c:formatCode>General</c:formatCode>
                <c:ptCount val="12"/>
                <c:pt idx="0">
                  <c:v>107.3</c:v>
                </c:pt>
                <c:pt idx="1">
                  <c:v>97.8</c:v>
                </c:pt>
                <c:pt idx="2">
                  <c:v>106.3</c:v>
                </c:pt>
                <c:pt idx="3">
                  <c:v>97.5</c:v>
                </c:pt>
                <c:pt idx="4">
                  <c:v>89.4</c:v>
                </c:pt>
                <c:pt idx="5">
                  <c:v>73.3</c:v>
                </c:pt>
                <c:pt idx="6">
                  <c:v>67.900000000000006</c:v>
                </c:pt>
                <c:pt idx="7">
                  <c:v>70.599999999999994</c:v>
                </c:pt>
                <c:pt idx="8">
                  <c:v>78</c:v>
                </c:pt>
                <c:pt idx="9">
                  <c:v>97.2</c:v>
                </c:pt>
                <c:pt idx="10">
                  <c:v>104.8</c:v>
                </c:pt>
                <c:pt idx="11">
                  <c:v>112.6</c:v>
                </c:pt>
              </c:numCache>
            </c:numRef>
          </c:val>
        </c:ser>
        <c:ser>
          <c:idx val="3"/>
          <c:order val="3"/>
          <c:tx>
            <c:v>Gravatá</c:v>
          </c:tx>
          <c:spPr>
            <a:ln w="3175">
              <a:solidFill>
                <a:sysClr val="windowText" lastClr="000000"/>
              </a:solidFill>
            </a:ln>
          </c:spPr>
          <c:marker>
            <c:spPr>
              <a:noFill/>
              <a:ln w="6350">
                <a:solidFill>
                  <a:sysClr val="windowText" lastClr="000000"/>
                </a:solidFill>
              </a:ln>
            </c:spPr>
          </c:marker>
          <c:cat>
            <c:strRef>
              <c:f>agreste!$B$1:$M$1</c:f>
              <c:strCache>
                <c:ptCount val="12"/>
                <c:pt idx="0">
                  <c:v>jan </c:v>
                </c:pt>
                <c:pt idx="1">
                  <c:v>feb</c:v>
                </c:pt>
                <c:pt idx="2">
                  <c:v>mar</c:v>
                </c:pt>
                <c:pt idx="3">
                  <c:v>apr</c:v>
                </c:pt>
                <c:pt idx="4">
                  <c:v>may</c:v>
                </c:pt>
                <c:pt idx="5">
                  <c:v>jun</c:v>
                </c:pt>
                <c:pt idx="6">
                  <c:v>jul</c:v>
                </c:pt>
                <c:pt idx="7">
                  <c:v>aug</c:v>
                </c:pt>
                <c:pt idx="8">
                  <c:v>sep</c:v>
                </c:pt>
                <c:pt idx="9">
                  <c:v>oct</c:v>
                </c:pt>
                <c:pt idx="10">
                  <c:v>nov</c:v>
                </c:pt>
                <c:pt idx="11">
                  <c:v>dec</c:v>
                </c:pt>
              </c:strCache>
            </c:strRef>
          </c:cat>
          <c:val>
            <c:numRef>
              <c:f>agreste!$B$6:$M$6</c:f>
              <c:numCache>
                <c:formatCode>General</c:formatCode>
                <c:ptCount val="12"/>
                <c:pt idx="0">
                  <c:v>114.4</c:v>
                </c:pt>
                <c:pt idx="1">
                  <c:v>101.9</c:v>
                </c:pt>
                <c:pt idx="2">
                  <c:v>109.6</c:v>
                </c:pt>
                <c:pt idx="3">
                  <c:v>100.3</c:v>
                </c:pt>
                <c:pt idx="4">
                  <c:v>88.9</c:v>
                </c:pt>
                <c:pt idx="5">
                  <c:v>73.7</c:v>
                </c:pt>
                <c:pt idx="6">
                  <c:v>68.099999999999994</c:v>
                </c:pt>
                <c:pt idx="7">
                  <c:v>70</c:v>
                </c:pt>
                <c:pt idx="8">
                  <c:v>77.5</c:v>
                </c:pt>
                <c:pt idx="9">
                  <c:v>95.6</c:v>
                </c:pt>
                <c:pt idx="10">
                  <c:v>104.4</c:v>
                </c:pt>
                <c:pt idx="11">
                  <c:v>113.5</c:v>
                </c:pt>
              </c:numCache>
            </c:numRef>
          </c:val>
        </c:ser>
        <c:ser>
          <c:idx val="4"/>
          <c:order val="4"/>
          <c:tx>
            <c:v>Pesqueira</c:v>
          </c:tx>
          <c:spPr>
            <a:ln w="3175">
              <a:solidFill>
                <a:sysClr val="windowText" lastClr="000000"/>
              </a:solidFill>
            </a:ln>
          </c:spPr>
          <c:marker>
            <c:spPr>
              <a:noFill/>
              <a:ln w="6350">
                <a:solidFill>
                  <a:sysClr val="windowText" lastClr="000000"/>
                </a:solidFill>
              </a:ln>
            </c:spPr>
          </c:marker>
          <c:val>
            <c:numRef>
              <c:f>agreste!$B$7:$M$7</c:f>
              <c:numCache>
                <c:formatCode>General</c:formatCode>
                <c:ptCount val="12"/>
                <c:pt idx="0">
                  <c:v>134.5</c:v>
                </c:pt>
                <c:pt idx="1">
                  <c:v>110</c:v>
                </c:pt>
                <c:pt idx="2">
                  <c:v>104.9</c:v>
                </c:pt>
                <c:pt idx="3">
                  <c:v>87.3</c:v>
                </c:pt>
                <c:pt idx="4">
                  <c:v>70.3</c:v>
                </c:pt>
                <c:pt idx="5">
                  <c:v>56.3</c:v>
                </c:pt>
                <c:pt idx="6">
                  <c:v>55</c:v>
                </c:pt>
                <c:pt idx="7">
                  <c:v>62.4</c:v>
                </c:pt>
                <c:pt idx="8">
                  <c:v>78.099999999999994</c:v>
                </c:pt>
                <c:pt idx="9">
                  <c:v>103.6</c:v>
                </c:pt>
                <c:pt idx="10">
                  <c:v>122.5</c:v>
                </c:pt>
                <c:pt idx="11">
                  <c:v>135.6</c:v>
                </c:pt>
              </c:numCache>
            </c:numRef>
          </c:val>
        </c:ser>
        <c:ser>
          <c:idx val="5"/>
          <c:order val="5"/>
          <c:tx>
            <c:v>Cimbres</c:v>
          </c:tx>
          <c:spPr>
            <a:ln w="3175">
              <a:solidFill>
                <a:sysClr val="windowText" lastClr="000000"/>
              </a:solidFill>
            </a:ln>
          </c:spPr>
          <c:marker>
            <c:spPr>
              <a:noFill/>
              <a:ln w="6350">
                <a:solidFill>
                  <a:sysClr val="windowText" lastClr="000000"/>
                </a:solidFill>
              </a:ln>
            </c:spPr>
          </c:marker>
          <c:val>
            <c:numRef>
              <c:f>agreste!$B$8:$M$8</c:f>
              <c:numCache>
                <c:formatCode>General</c:formatCode>
                <c:ptCount val="12"/>
                <c:pt idx="0">
                  <c:v>113.1</c:v>
                </c:pt>
                <c:pt idx="1">
                  <c:v>93.9</c:v>
                </c:pt>
                <c:pt idx="2">
                  <c:v>92.5</c:v>
                </c:pt>
                <c:pt idx="3">
                  <c:v>77.2</c:v>
                </c:pt>
                <c:pt idx="4">
                  <c:v>63.4</c:v>
                </c:pt>
                <c:pt idx="5">
                  <c:v>50.5</c:v>
                </c:pt>
                <c:pt idx="6">
                  <c:v>48.4</c:v>
                </c:pt>
                <c:pt idx="7">
                  <c:v>54.9</c:v>
                </c:pt>
                <c:pt idx="8">
                  <c:v>69</c:v>
                </c:pt>
                <c:pt idx="9">
                  <c:v>93.7</c:v>
                </c:pt>
                <c:pt idx="10">
                  <c:v>106.4</c:v>
                </c:pt>
                <c:pt idx="11">
                  <c:v>116.4</c:v>
                </c:pt>
              </c:numCache>
            </c:numRef>
          </c:val>
        </c:ser>
        <c:ser>
          <c:idx val="6"/>
          <c:order val="6"/>
          <c:tx>
            <c:v>São Caetano</c:v>
          </c:tx>
          <c:spPr>
            <a:ln w="3175">
              <a:solidFill>
                <a:sysClr val="windowText" lastClr="000000"/>
              </a:solidFill>
            </a:ln>
          </c:spPr>
          <c:marker>
            <c:spPr>
              <a:noFill/>
              <a:ln w="6350">
                <a:solidFill>
                  <a:sysClr val="windowText" lastClr="000000"/>
                </a:solidFill>
              </a:ln>
            </c:spPr>
          </c:marker>
          <c:val>
            <c:numRef>
              <c:f>agreste!$B$9:$M$9</c:f>
              <c:numCache>
                <c:formatCode>General</c:formatCode>
                <c:ptCount val="12"/>
                <c:pt idx="0">
                  <c:v>98.8</c:v>
                </c:pt>
                <c:pt idx="1">
                  <c:v>88</c:v>
                </c:pt>
                <c:pt idx="2">
                  <c:v>93.8</c:v>
                </c:pt>
                <c:pt idx="3">
                  <c:v>84.4</c:v>
                </c:pt>
                <c:pt idx="4">
                  <c:v>75.3</c:v>
                </c:pt>
                <c:pt idx="5">
                  <c:v>62.2</c:v>
                </c:pt>
                <c:pt idx="6">
                  <c:v>57.7</c:v>
                </c:pt>
                <c:pt idx="7">
                  <c:v>59.4</c:v>
                </c:pt>
                <c:pt idx="8">
                  <c:v>67</c:v>
                </c:pt>
                <c:pt idx="9">
                  <c:v>85.4</c:v>
                </c:pt>
                <c:pt idx="10">
                  <c:v>92.5</c:v>
                </c:pt>
                <c:pt idx="11">
                  <c:v>99.4</c:v>
                </c:pt>
              </c:numCache>
            </c:numRef>
          </c:val>
        </c:ser>
        <c:ser>
          <c:idx val="7"/>
          <c:order val="7"/>
          <c:tx>
            <c:v>S. B. do Una</c:v>
          </c:tx>
          <c:spPr>
            <a:ln w="3175">
              <a:solidFill>
                <a:sysClr val="windowText" lastClr="000000"/>
              </a:solidFill>
            </a:ln>
          </c:spPr>
          <c:marker>
            <c:spPr>
              <a:noFill/>
              <a:ln w="6350">
                <a:solidFill>
                  <a:sysClr val="windowText" lastClr="000000"/>
                </a:solidFill>
              </a:ln>
            </c:spPr>
          </c:marker>
          <c:val>
            <c:numRef>
              <c:f>agreste!$B$10:$M$10</c:f>
              <c:numCache>
                <c:formatCode>General</c:formatCode>
                <c:ptCount val="12"/>
                <c:pt idx="0">
                  <c:v>107.7</c:v>
                </c:pt>
                <c:pt idx="1">
                  <c:v>95.9</c:v>
                </c:pt>
                <c:pt idx="2">
                  <c:v>101</c:v>
                </c:pt>
                <c:pt idx="3">
                  <c:v>91.7</c:v>
                </c:pt>
                <c:pt idx="4">
                  <c:v>81.3</c:v>
                </c:pt>
                <c:pt idx="5">
                  <c:v>67.599999999999994</c:v>
                </c:pt>
                <c:pt idx="6">
                  <c:v>63.2</c:v>
                </c:pt>
                <c:pt idx="7">
                  <c:v>65.099999999999994</c:v>
                </c:pt>
                <c:pt idx="8">
                  <c:v>73.7</c:v>
                </c:pt>
                <c:pt idx="9">
                  <c:v>92.6</c:v>
                </c:pt>
                <c:pt idx="10">
                  <c:v>100.7</c:v>
                </c:pt>
                <c:pt idx="11">
                  <c:v>108.3</c:v>
                </c:pt>
              </c:numCache>
            </c:numRef>
          </c:val>
        </c:ser>
        <c:ser>
          <c:idx val="8"/>
          <c:order val="8"/>
          <c:tx>
            <c:v>Correntes</c:v>
          </c:tx>
          <c:spPr>
            <a:ln w="3175">
              <a:solidFill>
                <a:schemeClr val="tx1"/>
              </a:solidFill>
            </a:ln>
          </c:spPr>
          <c:marker>
            <c:symbol val="dash"/>
            <c:size val="3"/>
            <c:spPr>
              <a:noFill/>
              <a:ln w="6350">
                <a:solidFill>
                  <a:prstClr val="black"/>
                </a:solidFill>
              </a:ln>
            </c:spPr>
          </c:marker>
          <c:val>
            <c:numRef>
              <c:f>agreste!$B$11:$M$11</c:f>
              <c:numCache>
                <c:formatCode>General</c:formatCode>
                <c:ptCount val="12"/>
                <c:pt idx="0">
                  <c:v>118.2</c:v>
                </c:pt>
                <c:pt idx="1">
                  <c:v>106.5</c:v>
                </c:pt>
                <c:pt idx="2">
                  <c:v>117.1</c:v>
                </c:pt>
                <c:pt idx="3">
                  <c:v>98.9</c:v>
                </c:pt>
                <c:pt idx="4">
                  <c:v>86.9</c:v>
                </c:pt>
                <c:pt idx="5">
                  <c:v>70.900000000000006</c:v>
                </c:pt>
                <c:pt idx="6">
                  <c:v>66.2</c:v>
                </c:pt>
                <c:pt idx="7">
                  <c:v>66.2</c:v>
                </c:pt>
                <c:pt idx="8">
                  <c:v>76.7</c:v>
                </c:pt>
                <c:pt idx="9">
                  <c:v>98.4</c:v>
                </c:pt>
                <c:pt idx="10">
                  <c:v>115.5</c:v>
                </c:pt>
                <c:pt idx="11">
                  <c:v>125.7</c:v>
                </c:pt>
              </c:numCache>
            </c:numRef>
          </c:val>
        </c:ser>
        <c:ser>
          <c:idx val="9"/>
          <c:order val="9"/>
          <c:tx>
            <c:v>Garanhuns</c:v>
          </c:tx>
          <c:spPr>
            <a:ln w="3175">
              <a:solidFill>
                <a:schemeClr val="tx1"/>
              </a:solidFill>
            </a:ln>
          </c:spPr>
          <c:marker>
            <c:spPr>
              <a:noFill/>
              <a:ln w="6350">
                <a:solidFill>
                  <a:sysClr val="windowText" lastClr="000000"/>
                </a:solidFill>
              </a:ln>
            </c:spPr>
          </c:marker>
          <c:val>
            <c:numRef>
              <c:f>agreste!$B$12:$M$12</c:f>
              <c:numCache>
                <c:formatCode>General</c:formatCode>
                <c:ptCount val="12"/>
                <c:pt idx="0">
                  <c:v>92.3</c:v>
                </c:pt>
                <c:pt idx="1">
                  <c:v>83.9</c:v>
                </c:pt>
                <c:pt idx="2">
                  <c:v>89.2</c:v>
                </c:pt>
                <c:pt idx="3">
                  <c:v>81.2</c:v>
                </c:pt>
                <c:pt idx="4">
                  <c:v>72.7</c:v>
                </c:pt>
                <c:pt idx="5">
                  <c:v>60.1</c:v>
                </c:pt>
                <c:pt idx="6">
                  <c:v>55.3</c:v>
                </c:pt>
                <c:pt idx="7">
                  <c:v>56.8</c:v>
                </c:pt>
                <c:pt idx="8">
                  <c:v>63.3</c:v>
                </c:pt>
                <c:pt idx="9">
                  <c:v>80.599999999999994</c:v>
                </c:pt>
                <c:pt idx="10">
                  <c:v>87.1</c:v>
                </c:pt>
                <c:pt idx="11">
                  <c:v>92.6</c:v>
                </c:pt>
              </c:numCache>
            </c:numRef>
          </c:val>
        </c:ser>
        <c:ser>
          <c:idx val="10"/>
          <c:order val="10"/>
          <c:tx>
            <c:v>S. J. do Monte</c:v>
          </c:tx>
          <c:spPr>
            <a:ln w="3175">
              <a:solidFill>
                <a:schemeClr val="tx1"/>
              </a:solidFill>
            </a:ln>
          </c:spPr>
          <c:marker>
            <c:spPr>
              <a:noFill/>
              <a:ln w="6350">
                <a:solidFill>
                  <a:sysClr val="windowText" lastClr="000000"/>
                </a:solidFill>
              </a:ln>
            </c:spPr>
          </c:marker>
          <c:val>
            <c:numRef>
              <c:f>agreste!$B$13:$M$13</c:f>
              <c:numCache>
                <c:formatCode>General</c:formatCode>
                <c:ptCount val="12"/>
                <c:pt idx="0">
                  <c:v>128.80000000000001</c:v>
                </c:pt>
                <c:pt idx="1">
                  <c:v>106.8</c:v>
                </c:pt>
                <c:pt idx="2">
                  <c:v>110.6</c:v>
                </c:pt>
                <c:pt idx="3">
                  <c:v>102.3</c:v>
                </c:pt>
                <c:pt idx="4">
                  <c:v>94.1</c:v>
                </c:pt>
                <c:pt idx="5">
                  <c:v>79.2</c:v>
                </c:pt>
                <c:pt idx="6">
                  <c:v>78.7</c:v>
                </c:pt>
                <c:pt idx="7">
                  <c:v>84.4</c:v>
                </c:pt>
                <c:pt idx="8">
                  <c:v>98.6</c:v>
                </c:pt>
                <c:pt idx="9">
                  <c:v>119</c:v>
                </c:pt>
                <c:pt idx="10">
                  <c:v>124.3</c:v>
                </c:pt>
                <c:pt idx="11">
                  <c:v>132.6</c:v>
                </c:pt>
              </c:numCache>
            </c:numRef>
          </c:val>
        </c:ser>
        <c:ser>
          <c:idx val="11"/>
          <c:order val="11"/>
          <c:tx>
            <c:v>Bom Jardim</c:v>
          </c:tx>
          <c:spPr>
            <a:ln w="3175">
              <a:solidFill>
                <a:schemeClr val="tx1"/>
              </a:solidFill>
            </a:ln>
          </c:spPr>
          <c:marker>
            <c:spPr>
              <a:noFill/>
              <a:ln w="6350">
                <a:solidFill>
                  <a:sysClr val="windowText" lastClr="000000"/>
                </a:solidFill>
              </a:ln>
            </c:spPr>
          </c:marker>
          <c:val>
            <c:numRef>
              <c:f>agreste!$B$14:$M$14</c:f>
              <c:numCache>
                <c:formatCode>General</c:formatCode>
                <c:ptCount val="12"/>
                <c:pt idx="0">
                  <c:v>142.30000000000001</c:v>
                </c:pt>
                <c:pt idx="1">
                  <c:v>120.5</c:v>
                </c:pt>
                <c:pt idx="2">
                  <c:v>120.4</c:v>
                </c:pt>
                <c:pt idx="3">
                  <c:v>100.3</c:v>
                </c:pt>
                <c:pt idx="4">
                  <c:v>83.7</c:v>
                </c:pt>
                <c:pt idx="5">
                  <c:v>66.900000000000006</c:v>
                </c:pt>
                <c:pt idx="6">
                  <c:v>64.5</c:v>
                </c:pt>
                <c:pt idx="7">
                  <c:v>71.7</c:v>
                </c:pt>
                <c:pt idx="8">
                  <c:v>86.6</c:v>
                </c:pt>
                <c:pt idx="9">
                  <c:v>112.5</c:v>
                </c:pt>
                <c:pt idx="10">
                  <c:v>127.6</c:v>
                </c:pt>
                <c:pt idx="11">
                  <c:v>142.9</c:v>
                </c:pt>
              </c:numCache>
            </c:numRef>
          </c:val>
        </c:ser>
        <c:ser>
          <c:idx val="12"/>
          <c:order val="12"/>
          <c:tx>
            <c:v>Limoeiro</c:v>
          </c:tx>
          <c:spPr>
            <a:ln w="3175">
              <a:solidFill>
                <a:schemeClr val="tx1"/>
              </a:solidFill>
            </a:ln>
          </c:spPr>
          <c:marker>
            <c:spPr>
              <a:noFill/>
              <a:ln w="6350">
                <a:solidFill>
                  <a:sysClr val="windowText" lastClr="000000"/>
                </a:solidFill>
              </a:ln>
            </c:spPr>
          </c:marker>
          <c:val>
            <c:numRef>
              <c:f>agreste!$B$15:$M$15</c:f>
              <c:numCache>
                <c:formatCode>General</c:formatCode>
                <c:ptCount val="12"/>
                <c:pt idx="0">
                  <c:v>161.9</c:v>
                </c:pt>
                <c:pt idx="1">
                  <c:v>134.1</c:v>
                </c:pt>
                <c:pt idx="2">
                  <c:v>133.69999999999999</c:v>
                </c:pt>
                <c:pt idx="3">
                  <c:v>112.5</c:v>
                </c:pt>
                <c:pt idx="4">
                  <c:v>94.7</c:v>
                </c:pt>
                <c:pt idx="5">
                  <c:v>75.900000000000006</c:v>
                </c:pt>
                <c:pt idx="6">
                  <c:v>72.900000000000006</c:v>
                </c:pt>
                <c:pt idx="7">
                  <c:v>82.3</c:v>
                </c:pt>
                <c:pt idx="8">
                  <c:v>98.5</c:v>
                </c:pt>
                <c:pt idx="9">
                  <c:v>127.3</c:v>
                </c:pt>
                <c:pt idx="10">
                  <c:v>145</c:v>
                </c:pt>
                <c:pt idx="11">
                  <c:v>162.9</c:v>
                </c:pt>
              </c:numCache>
            </c:numRef>
          </c:val>
        </c:ser>
        <c:ser>
          <c:idx val="13"/>
          <c:order val="13"/>
          <c:tx>
            <c:v>Águas Belas</c:v>
          </c:tx>
          <c:spPr>
            <a:ln w="3175">
              <a:solidFill>
                <a:schemeClr val="tx1"/>
              </a:solidFill>
            </a:ln>
          </c:spPr>
          <c:marker>
            <c:spPr>
              <a:noFill/>
              <a:ln>
                <a:solidFill>
                  <a:schemeClr val="tx1"/>
                </a:solidFill>
              </a:ln>
            </c:spPr>
          </c:marker>
          <c:val>
            <c:numRef>
              <c:f>agreste!$B$2:$M$2</c:f>
              <c:numCache>
                <c:formatCode>General</c:formatCode>
                <c:ptCount val="12"/>
                <c:pt idx="0">
                  <c:v>136.6</c:v>
                </c:pt>
                <c:pt idx="1">
                  <c:v>120.3</c:v>
                </c:pt>
                <c:pt idx="2">
                  <c:v>129.19999999999999</c:v>
                </c:pt>
                <c:pt idx="3">
                  <c:v>114.9</c:v>
                </c:pt>
                <c:pt idx="4">
                  <c:v>100.1</c:v>
                </c:pt>
                <c:pt idx="5">
                  <c:v>82</c:v>
                </c:pt>
                <c:pt idx="6">
                  <c:v>75.2</c:v>
                </c:pt>
                <c:pt idx="7">
                  <c:v>79.400000000000006</c:v>
                </c:pt>
                <c:pt idx="8">
                  <c:v>92.6</c:v>
                </c:pt>
                <c:pt idx="9">
                  <c:v>118.3</c:v>
                </c:pt>
                <c:pt idx="10">
                  <c:v>128.80000000000001</c:v>
                </c:pt>
                <c:pt idx="11">
                  <c:v>135.80000000000001</c:v>
                </c:pt>
              </c:numCache>
            </c:numRef>
          </c:val>
        </c:ser>
        <c:marker val="1"/>
        <c:axId val="142453376"/>
        <c:axId val="142468224"/>
      </c:lineChart>
      <c:catAx>
        <c:axId val="142453376"/>
        <c:scaling>
          <c:orientation val="minMax"/>
        </c:scaling>
        <c:axPos val="b"/>
        <c:title>
          <c:tx>
            <c:rich>
              <a:bodyPr/>
              <a:lstStyle/>
              <a:p>
                <a:pPr>
                  <a:defRPr>
                    <a:latin typeface="Times New Roman" pitchFamily="18" charset="0"/>
                    <a:cs typeface="Times New Roman" pitchFamily="18" charset="0"/>
                  </a:defRPr>
                </a:pPr>
                <a:r>
                  <a:rPr lang="pt-BR">
                    <a:latin typeface="Times New Roman" pitchFamily="18" charset="0"/>
                    <a:cs typeface="Times New Roman" pitchFamily="18" charset="0"/>
                  </a:rPr>
                  <a:t>Months</a:t>
                </a:r>
              </a:p>
            </c:rich>
          </c:tx>
          <c:layout>
            <c:manualLayout>
              <c:xMode val="edge"/>
              <c:yMode val="edge"/>
              <c:x val="0.52236220472440908"/>
              <c:y val="0.70697929292929362"/>
            </c:manualLayout>
          </c:layout>
        </c:title>
        <c:majorTickMark val="none"/>
        <c:minorTickMark val="out"/>
        <c:tickLblPos val="nextTo"/>
        <c:spPr>
          <a:noFill/>
          <a:ln w="6350">
            <a:solidFill>
              <a:schemeClr val="tx1"/>
            </a:solidFill>
          </a:ln>
        </c:spPr>
        <c:txPr>
          <a:bodyPr rot="-5400000" vert="horz"/>
          <a:lstStyle/>
          <a:p>
            <a:pPr>
              <a:defRPr>
                <a:latin typeface="Times New Roman" pitchFamily="18" charset="0"/>
                <a:cs typeface="Times New Roman" pitchFamily="18" charset="0"/>
              </a:defRPr>
            </a:pPr>
            <a:endParaRPr lang="pt-BR"/>
          </a:p>
        </c:txPr>
        <c:crossAx val="142468224"/>
        <c:crosses val="autoZero"/>
        <c:auto val="1"/>
        <c:lblAlgn val="ctr"/>
        <c:lblOffset val="100"/>
      </c:catAx>
      <c:valAx>
        <c:axId val="142468224"/>
        <c:scaling>
          <c:orientation val="minMax"/>
          <c:max val="210"/>
          <c:min val="50"/>
        </c:scaling>
        <c:axPos val="l"/>
        <c:numFmt formatCode="General" sourceLinked="1"/>
        <c:tickLblPos val="nextTo"/>
        <c:spPr>
          <a:ln>
            <a:solidFill>
              <a:schemeClr val="tx1"/>
            </a:solidFill>
          </a:ln>
        </c:spPr>
        <c:txPr>
          <a:bodyPr/>
          <a:lstStyle/>
          <a:p>
            <a:pPr>
              <a:defRPr>
                <a:latin typeface="Times New Roman" pitchFamily="18" charset="0"/>
                <a:cs typeface="Times New Roman" pitchFamily="18" charset="0"/>
              </a:defRPr>
            </a:pPr>
            <a:endParaRPr lang="pt-BR"/>
          </a:p>
        </c:txPr>
        <c:crossAx val="142453376"/>
        <c:crosses val="autoZero"/>
        <c:crossBetween val="between"/>
      </c:valAx>
    </c:plotArea>
    <c:legend>
      <c:legendPos val="r"/>
      <c:layout>
        <c:manualLayout>
          <c:xMode val="edge"/>
          <c:yMode val="edge"/>
          <c:x val="0"/>
          <c:y val="0.79274109376078883"/>
          <c:w val="0.99296394019349166"/>
          <c:h val="0.20409870363521246"/>
        </c:manualLayout>
      </c:layout>
      <c:txPr>
        <a:bodyPr/>
        <a:lstStyle/>
        <a:p>
          <a:pPr>
            <a:defRPr sz="700">
              <a:latin typeface="Times New Roman" pitchFamily="18" charset="0"/>
              <a:cs typeface="Times New Roman" pitchFamily="18" charset="0"/>
            </a:defRPr>
          </a:pPr>
          <a:endParaRPr lang="pt-BR"/>
        </a:p>
      </c:txPr>
    </c:legend>
    <c:plotVisOnly val="1"/>
  </c:chart>
  <c:spPr>
    <a:noFill/>
    <a:ln>
      <a:noFill/>
    </a:ln>
  </c:spPr>
  <c:txPr>
    <a:bodyPr/>
    <a:lstStyle/>
    <a:p>
      <a:pPr>
        <a:defRPr sz="800"/>
      </a:pPr>
      <a:endParaRPr lang="pt-BR"/>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pt-BR"/>
  <c:chart>
    <c:plotArea>
      <c:layout>
        <c:manualLayout>
          <c:layoutTarget val="inner"/>
          <c:xMode val="edge"/>
          <c:yMode val="edge"/>
          <c:x val="0.22274431818181994"/>
          <c:y val="3.8518348451320655E-2"/>
          <c:w val="0.74643577161550578"/>
          <c:h val="0.562302234023073"/>
        </c:manualLayout>
      </c:layout>
      <c:lineChart>
        <c:grouping val="standard"/>
        <c:ser>
          <c:idx val="0"/>
          <c:order val="0"/>
          <c:tx>
            <c:v>Pau Ferro</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Francisco'!$B$2:$M$2</c:f>
              <c:numCache>
                <c:formatCode>General</c:formatCode>
                <c:ptCount val="12"/>
                <c:pt idx="0">
                  <c:v>148.1</c:v>
                </c:pt>
                <c:pt idx="1">
                  <c:v>132</c:v>
                </c:pt>
                <c:pt idx="2">
                  <c:v>143.1</c:v>
                </c:pt>
                <c:pt idx="3">
                  <c:v>119.9</c:v>
                </c:pt>
                <c:pt idx="4">
                  <c:v>104.5</c:v>
                </c:pt>
                <c:pt idx="5">
                  <c:v>88.1</c:v>
                </c:pt>
                <c:pt idx="6">
                  <c:v>81.2</c:v>
                </c:pt>
                <c:pt idx="7">
                  <c:v>91.3</c:v>
                </c:pt>
                <c:pt idx="8">
                  <c:v>118.3</c:v>
                </c:pt>
                <c:pt idx="9">
                  <c:v>154.4</c:v>
                </c:pt>
                <c:pt idx="10">
                  <c:v>151.9</c:v>
                </c:pt>
                <c:pt idx="11">
                  <c:v>148.6</c:v>
                </c:pt>
              </c:numCache>
            </c:numRef>
          </c:val>
        </c:ser>
        <c:ser>
          <c:idx val="1"/>
          <c:order val="1"/>
          <c:tx>
            <c:v>Jutaí</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Francisco'!$B$3:$M$3</c:f>
              <c:numCache>
                <c:formatCode>General</c:formatCode>
                <c:ptCount val="12"/>
                <c:pt idx="0">
                  <c:v>151.30000000000001</c:v>
                </c:pt>
                <c:pt idx="1">
                  <c:v>131.6</c:v>
                </c:pt>
                <c:pt idx="2">
                  <c:v>143.1</c:v>
                </c:pt>
                <c:pt idx="3">
                  <c:v>120.8</c:v>
                </c:pt>
                <c:pt idx="4">
                  <c:v>108.2</c:v>
                </c:pt>
                <c:pt idx="5">
                  <c:v>92.4</c:v>
                </c:pt>
                <c:pt idx="6">
                  <c:v>87.4</c:v>
                </c:pt>
                <c:pt idx="7">
                  <c:v>100.2</c:v>
                </c:pt>
                <c:pt idx="8">
                  <c:v>125.9</c:v>
                </c:pt>
                <c:pt idx="9">
                  <c:v>154.4</c:v>
                </c:pt>
                <c:pt idx="10">
                  <c:v>155</c:v>
                </c:pt>
                <c:pt idx="11">
                  <c:v>155</c:v>
                </c:pt>
              </c:numCache>
            </c:numRef>
          </c:val>
        </c:ser>
        <c:ser>
          <c:idx val="2"/>
          <c:order val="2"/>
          <c:tx>
            <c:v>Lagoa Grande</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Francisco'!$B$4:$M$4</c:f>
              <c:numCache>
                <c:formatCode>General</c:formatCode>
                <c:ptCount val="12"/>
                <c:pt idx="0">
                  <c:v>151.30000000000001</c:v>
                </c:pt>
                <c:pt idx="1">
                  <c:v>134.9</c:v>
                </c:pt>
                <c:pt idx="2">
                  <c:v>143.1</c:v>
                </c:pt>
                <c:pt idx="3">
                  <c:v>122.9</c:v>
                </c:pt>
                <c:pt idx="4">
                  <c:v>106.9</c:v>
                </c:pt>
                <c:pt idx="5">
                  <c:v>90.1</c:v>
                </c:pt>
                <c:pt idx="6">
                  <c:v>83</c:v>
                </c:pt>
                <c:pt idx="7">
                  <c:v>93.4</c:v>
                </c:pt>
                <c:pt idx="8">
                  <c:v>119.6</c:v>
                </c:pt>
                <c:pt idx="9">
                  <c:v>154.4</c:v>
                </c:pt>
                <c:pt idx="10">
                  <c:v>151.9</c:v>
                </c:pt>
                <c:pt idx="11">
                  <c:v>148.6</c:v>
                </c:pt>
              </c:numCache>
            </c:numRef>
          </c:val>
        </c:ser>
        <c:ser>
          <c:idx val="3"/>
          <c:order val="3"/>
          <c:tx>
            <c:v>Petrolina</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Francisco'!$B$5:$M$5</c:f>
              <c:numCache>
                <c:formatCode>General</c:formatCode>
                <c:ptCount val="12"/>
                <c:pt idx="0">
                  <c:v>151.80000000000001</c:v>
                </c:pt>
                <c:pt idx="1">
                  <c:v>137.80000000000001</c:v>
                </c:pt>
                <c:pt idx="2">
                  <c:v>146.6</c:v>
                </c:pt>
                <c:pt idx="3">
                  <c:v>124.6</c:v>
                </c:pt>
                <c:pt idx="4">
                  <c:v>111.5</c:v>
                </c:pt>
                <c:pt idx="5">
                  <c:v>95.2</c:v>
                </c:pt>
                <c:pt idx="6">
                  <c:v>84</c:v>
                </c:pt>
                <c:pt idx="7">
                  <c:v>94.8</c:v>
                </c:pt>
                <c:pt idx="8">
                  <c:v>116.3</c:v>
                </c:pt>
                <c:pt idx="9">
                  <c:v>151.69999999999999</c:v>
                </c:pt>
                <c:pt idx="10">
                  <c:v>149.30000000000001</c:v>
                </c:pt>
                <c:pt idx="11">
                  <c:v>140.6</c:v>
                </c:pt>
              </c:numCache>
            </c:numRef>
          </c:val>
        </c:ser>
        <c:ser>
          <c:idx val="4"/>
          <c:order val="4"/>
          <c:tx>
            <c:v>Orocó</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Francisco'!$B$6:$M$6</c:f>
              <c:numCache>
                <c:formatCode>General</c:formatCode>
                <c:ptCount val="12"/>
                <c:pt idx="0">
                  <c:v>151.30000000000001</c:v>
                </c:pt>
                <c:pt idx="1">
                  <c:v>131.6</c:v>
                </c:pt>
                <c:pt idx="2">
                  <c:v>140</c:v>
                </c:pt>
                <c:pt idx="3">
                  <c:v>121.1</c:v>
                </c:pt>
                <c:pt idx="4">
                  <c:v>108.7</c:v>
                </c:pt>
                <c:pt idx="5">
                  <c:v>91.6</c:v>
                </c:pt>
                <c:pt idx="6">
                  <c:v>86.6</c:v>
                </c:pt>
                <c:pt idx="7">
                  <c:v>97.8</c:v>
                </c:pt>
                <c:pt idx="8">
                  <c:v>122.8</c:v>
                </c:pt>
                <c:pt idx="9">
                  <c:v>151.19999999999999</c:v>
                </c:pt>
                <c:pt idx="10">
                  <c:v>151.9</c:v>
                </c:pt>
                <c:pt idx="11">
                  <c:v>155</c:v>
                </c:pt>
              </c:numCache>
            </c:numRef>
          </c:val>
        </c:ser>
        <c:ser>
          <c:idx val="5"/>
          <c:order val="5"/>
          <c:tx>
            <c:v>Cabrobó</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Francisco'!$B$7:$M$7</c:f>
              <c:numCache>
                <c:formatCode>General</c:formatCode>
                <c:ptCount val="12"/>
                <c:pt idx="0">
                  <c:v>150.9</c:v>
                </c:pt>
                <c:pt idx="1">
                  <c:v>131.6</c:v>
                </c:pt>
                <c:pt idx="2">
                  <c:v>143.1</c:v>
                </c:pt>
                <c:pt idx="3">
                  <c:v>124.1</c:v>
                </c:pt>
                <c:pt idx="4">
                  <c:v>111.2</c:v>
                </c:pt>
                <c:pt idx="5">
                  <c:v>95</c:v>
                </c:pt>
                <c:pt idx="6">
                  <c:v>89.9</c:v>
                </c:pt>
                <c:pt idx="7">
                  <c:v>101.5</c:v>
                </c:pt>
                <c:pt idx="8">
                  <c:v>124.1</c:v>
                </c:pt>
                <c:pt idx="9">
                  <c:v>151.19999999999999</c:v>
                </c:pt>
                <c:pt idx="10">
                  <c:v>155</c:v>
                </c:pt>
                <c:pt idx="11">
                  <c:v>158.30000000000001</c:v>
                </c:pt>
              </c:numCache>
            </c:numRef>
          </c:val>
        </c:ser>
        <c:ser>
          <c:idx val="6"/>
          <c:order val="6"/>
          <c:tx>
            <c:v>Petrolândia</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Francisco'!$B$8:$M$8</c:f>
              <c:numCache>
                <c:formatCode>General</c:formatCode>
                <c:ptCount val="12"/>
                <c:pt idx="0">
                  <c:v>154.6</c:v>
                </c:pt>
                <c:pt idx="1">
                  <c:v>134.9</c:v>
                </c:pt>
                <c:pt idx="2">
                  <c:v>143.1</c:v>
                </c:pt>
                <c:pt idx="3">
                  <c:v>129.30000000000001</c:v>
                </c:pt>
                <c:pt idx="4">
                  <c:v>112.8</c:v>
                </c:pt>
                <c:pt idx="5">
                  <c:v>93.3</c:v>
                </c:pt>
                <c:pt idx="6">
                  <c:v>88.6</c:v>
                </c:pt>
                <c:pt idx="7">
                  <c:v>98.2</c:v>
                </c:pt>
                <c:pt idx="8">
                  <c:v>119</c:v>
                </c:pt>
                <c:pt idx="9">
                  <c:v>151.19999999999999</c:v>
                </c:pt>
                <c:pt idx="10">
                  <c:v>151.9</c:v>
                </c:pt>
                <c:pt idx="11">
                  <c:v>155</c:v>
                </c:pt>
              </c:numCache>
            </c:numRef>
          </c:val>
        </c:ser>
        <c:ser>
          <c:idx val="7"/>
          <c:order val="7"/>
          <c:tx>
            <c:v>Floresta</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Francisco'!$B$9:$M$9</c:f>
              <c:numCache>
                <c:formatCode>General</c:formatCode>
                <c:ptCount val="12"/>
                <c:pt idx="0">
                  <c:v>161</c:v>
                </c:pt>
                <c:pt idx="1">
                  <c:v>137.30000000000001</c:v>
                </c:pt>
                <c:pt idx="2">
                  <c:v>146.19999999999999</c:v>
                </c:pt>
                <c:pt idx="3">
                  <c:v>135.69999999999999</c:v>
                </c:pt>
                <c:pt idx="4">
                  <c:v>111.9</c:v>
                </c:pt>
                <c:pt idx="5">
                  <c:v>87.1</c:v>
                </c:pt>
                <c:pt idx="6">
                  <c:v>79.5</c:v>
                </c:pt>
                <c:pt idx="7">
                  <c:v>93</c:v>
                </c:pt>
                <c:pt idx="8">
                  <c:v>123.4</c:v>
                </c:pt>
                <c:pt idx="9">
                  <c:v>154.4</c:v>
                </c:pt>
                <c:pt idx="10">
                  <c:v>158.1</c:v>
                </c:pt>
                <c:pt idx="11">
                  <c:v>161.5</c:v>
                </c:pt>
              </c:numCache>
            </c:numRef>
          </c:val>
        </c:ser>
        <c:ser>
          <c:idx val="8"/>
          <c:order val="8"/>
          <c:tx>
            <c:v>Tacaratu</c:v>
          </c:tx>
          <c:spPr>
            <a:ln w="3175">
              <a:solidFill>
                <a:sysClr val="windowText" lastClr="000000"/>
              </a:solidFill>
            </a:ln>
          </c:spPr>
          <c:marker>
            <c:spPr>
              <a:noFill/>
              <a:ln w="6350">
                <a:solidFill>
                  <a:sysClr val="windowText" lastClr="000000"/>
                </a:solidFill>
              </a:ln>
            </c:spPr>
          </c:marker>
          <c:cat>
            <c:strRef>
              <c:f>'Sao Francisco'!$B$1:$M$1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'Sao Francisco'!$B$10:$M$10</c:f>
              <c:numCache>
                <c:formatCode>General</c:formatCode>
                <c:ptCount val="12"/>
                <c:pt idx="0">
                  <c:v>126.7</c:v>
                </c:pt>
                <c:pt idx="1">
                  <c:v>111.6</c:v>
                </c:pt>
                <c:pt idx="2">
                  <c:v>117.1</c:v>
                </c:pt>
                <c:pt idx="3">
                  <c:v>105.6</c:v>
                </c:pt>
                <c:pt idx="4">
                  <c:v>92.4</c:v>
                </c:pt>
                <c:pt idx="5">
                  <c:v>75.900000000000006</c:v>
                </c:pt>
                <c:pt idx="6">
                  <c:v>69.8</c:v>
                </c:pt>
                <c:pt idx="7">
                  <c:v>73.7</c:v>
                </c:pt>
                <c:pt idx="8">
                  <c:v>90.1</c:v>
                </c:pt>
                <c:pt idx="9">
                  <c:v>115.5</c:v>
                </c:pt>
                <c:pt idx="10">
                  <c:v>122.3</c:v>
                </c:pt>
                <c:pt idx="11">
                  <c:v>127.5</c:v>
                </c:pt>
              </c:numCache>
            </c:numRef>
          </c:val>
        </c:ser>
        <c:marker val="1"/>
        <c:axId val="142534912"/>
        <c:axId val="142549760"/>
      </c:lineChart>
      <c:catAx>
        <c:axId val="142534912"/>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layout>
            <c:manualLayout>
              <c:xMode val="edge"/>
              <c:yMode val="edge"/>
              <c:x val="0.50861501008026166"/>
              <c:y val="0.7331880607947262"/>
            </c:manualLayout>
          </c:layout>
          <c:spPr>
            <a:ln w="3175"/>
          </c:spPr>
        </c:title>
        <c:numFmt formatCode="General" sourceLinked="1"/>
        <c:majorTickMark val="none"/>
        <c:minorTickMark val="out"/>
        <c:tickLblPos val="nextTo"/>
        <c:spPr>
          <a:ln w="6350">
            <a:solidFill>
              <a:sysClr val="windowText" lastClr="000000"/>
            </a:solidFill>
          </a:ln>
        </c:spPr>
        <c:txPr>
          <a:bodyPr rot="-5400000" vert="horz"/>
          <a:lstStyle/>
          <a:p>
            <a:pPr>
              <a:defRPr sz="800">
                <a:latin typeface="Times New Roman" pitchFamily="18" charset="0"/>
                <a:cs typeface="Times New Roman" pitchFamily="18" charset="0"/>
              </a:defRPr>
            </a:pPr>
            <a:endParaRPr lang="pt-BR"/>
          </a:p>
        </c:txPr>
        <c:crossAx val="142549760"/>
        <c:crosses val="autoZero"/>
        <c:auto val="1"/>
        <c:lblAlgn val="ctr"/>
        <c:lblOffset val="100"/>
      </c:catAx>
      <c:valAx>
        <c:axId val="142549760"/>
        <c:scaling>
          <c:orientation val="minMax"/>
          <c:max val="210"/>
          <c:min val="50"/>
        </c:scaling>
        <c:axPos val="l"/>
        <c:title>
          <c:tx>
            <c:rich>
              <a:bodyPr/>
              <a:lstStyle/>
              <a:p>
                <a:pPr>
                  <a:defRPr sz="800">
                    <a:latin typeface="Times New Roman" pitchFamily="18" charset="0"/>
                    <a:cs typeface="Times New Roman" pitchFamily="18" charset="0"/>
                  </a:defRPr>
                </a:pPr>
                <a:r>
                  <a:rPr lang="pt-BR" sz="800" b="1" i="0" u="none" strike="noStrike" baseline="0"/>
                  <a:t>PET (mm month</a:t>
                </a:r>
                <a:r>
                  <a:rPr lang="pt-BR" sz="800" b="1" i="0" u="none" strike="noStrike" baseline="30000"/>
                  <a:t>-1</a:t>
                </a:r>
                <a:r>
                  <a:rPr lang="en-US" sz="800">
                    <a:latin typeface="Times New Roman" pitchFamily="18" charset="0"/>
                    <a:cs typeface="Times New Roman" pitchFamily="18" charset="0"/>
                  </a:rPr>
                  <a:t>)</a:t>
                </a:r>
              </a:p>
            </c:rich>
          </c:tx>
          <c:spPr>
            <a:noFill/>
            <a:ln w="25400">
              <a:noFill/>
            </a:ln>
          </c:spPr>
        </c:title>
        <c:numFmt formatCode="General" sourceLinked="1"/>
        <c:tickLblPos val="nextTo"/>
        <c:spPr>
          <a:ln w="6350">
            <a:solidFill>
              <a:sysClr val="windowText" lastClr="000000"/>
            </a:solidFill>
          </a:ln>
        </c:spPr>
        <c:txPr>
          <a:bodyPr/>
          <a:lstStyle/>
          <a:p>
            <a:pPr>
              <a:defRPr sz="800">
                <a:latin typeface="Times New Roman" pitchFamily="18" charset="0"/>
                <a:cs typeface="Times New Roman" pitchFamily="18" charset="0"/>
              </a:defRPr>
            </a:pPr>
            <a:endParaRPr lang="pt-BR"/>
          </a:p>
        </c:txPr>
        <c:crossAx val="142534912"/>
        <c:crosses val="autoZero"/>
        <c:crossBetween val="between"/>
        <c:majorUnit val="20"/>
      </c:valAx>
    </c:plotArea>
    <c:legend>
      <c:legendPos val="r"/>
      <c:layout>
        <c:manualLayout>
          <c:xMode val="edge"/>
          <c:yMode val="edge"/>
          <c:x val="0"/>
          <c:y val="0.83751050005328387"/>
          <c:w val="0.99227098604705233"/>
          <c:h val="0.16121039197944914"/>
        </c:manualLayout>
      </c:layout>
      <c:txPr>
        <a:bodyPr/>
        <a:lstStyle/>
        <a:p>
          <a:pPr>
            <a:defRPr sz="700">
              <a:latin typeface="Times New Roman" pitchFamily="18" charset="0"/>
              <a:cs typeface="Times New Roman" pitchFamily="18" charset="0"/>
            </a:defRPr>
          </a:pPr>
          <a:endParaRPr lang="pt-BR"/>
        </a:p>
      </c:txPr>
    </c:legend>
    <c:plotVisOnly val="1"/>
    <c:dispBlanksAs val="gap"/>
  </c:chart>
  <c:spPr>
    <a:solidFill>
      <a:srgbClr val="FFFFFF"/>
    </a:solidFill>
    <a:ln w="3175">
      <a:noFill/>
      <a:prstDash val="solid"/>
    </a:ln>
  </c:spPr>
  <c:txPr>
    <a:bodyPr/>
    <a:lstStyle/>
    <a:p>
      <a:pPr>
        <a:defRPr sz="600"/>
      </a:pPr>
      <a:endParaRPr lang="pt-BR"/>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lang val="pt-BR"/>
  <c:style val="1"/>
  <c:chart>
    <c:plotArea>
      <c:layout>
        <c:manualLayout>
          <c:layoutTarget val="inner"/>
          <c:xMode val="edge"/>
          <c:yMode val="edge"/>
          <c:x val="0.15696450987104904"/>
          <c:y val="2.9860901118838823E-2"/>
          <c:w val="0.814058351401727"/>
          <c:h val="0.60411188686400064"/>
        </c:manualLayout>
      </c:layout>
      <c:lineChart>
        <c:grouping val="standard"/>
        <c:ser>
          <c:idx val="0"/>
          <c:order val="0"/>
          <c:tx>
            <c:v>Araripina</c:v>
          </c:tx>
          <c:spPr>
            <a:ln w="3175">
              <a:solidFill>
                <a:prstClr val="black"/>
              </a:solidFill>
            </a:ln>
          </c:spPr>
          <c:marker>
            <c:spPr>
              <a:noFill/>
              <a:ln w="3175">
                <a:solidFill>
                  <a:prstClr val="black"/>
                </a:solidFill>
              </a:ln>
            </c:spPr>
          </c:marker>
          <c:cat>
            <c:strRef>
              <c:f>sertao!$B$1:$M$1</c:f>
              <c:strCache>
                <c:ptCount val="12"/>
                <c:pt idx="0">
                  <c:v>jan </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sertao!$B$2:$M$2</c:f>
              <c:numCache>
                <c:formatCode>General</c:formatCode>
                <c:ptCount val="12"/>
                <c:pt idx="0">
                  <c:v>121</c:v>
                </c:pt>
                <c:pt idx="1">
                  <c:v>99.3</c:v>
                </c:pt>
                <c:pt idx="2">
                  <c:v>100.1</c:v>
                </c:pt>
                <c:pt idx="3">
                  <c:v>92.9</c:v>
                </c:pt>
                <c:pt idx="4">
                  <c:v>88.5</c:v>
                </c:pt>
                <c:pt idx="5">
                  <c:v>78.5</c:v>
                </c:pt>
                <c:pt idx="6">
                  <c:v>79.3</c:v>
                </c:pt>
                <c:pt idx="7">
                  <c:v>89.4</c:v>
                </c:pt>
                <c:pt idx="8">
                  <c:v>111.7</c:v>
                </c:pt>
                <c:pt idx="9">
                  <c:v>136.69999999999999</c:v>
                </c:pt>
                <c:pt idx="10">
                  <c:v>129.9</c:v>
                </c:pt>
                <c:pt idx="11">
                  <c:v>128.80000000000001</c:v>
                </c:pt>
              </c:numCache>
            </c:numRef>
          </c:val>
        </c:ser>
        <c:ser>
          <c:idx val="1"/>
          <c:order val="1"/>
          <c:tx>
            <c:v>S. J. do Egito</c:v>
          </c:tx>
          <c:spPr>
            <a:ln w="3175">
              <a:solidFill>
                <a:schemeClr val="tx1"/>
              </a:solidFill>
            </a:ln>
          </c:spPr>
          <c:marker>
            <c:spPr>
              <a:noFill/>
              <a:ln w="3175">
                <a:solidFill>
                  <a:schemeClr val="tx1"/>
                </a:solidFill>
              </a:ln>
            </c:spPr>
          </c:marker>
          <c:cat>
            <c:strRef>
              <c:f>sertao!$B$1:$M$1</c:f>
              <c:strCache>
                <c:ptCount val="12"/>
                <c:pt idx="0">
                  <c:v>jan </c:v>
                </c:pt>
                <c:pt idx="1">
                  <c:v>feb</c:v>
                </c:pt>
                <c:pt idx="2">
                  <c:v>mar</c:v>
                </c:pt>
                <c:pt idx="3">
                  <c:v>apr</c:v>
                </c:pt>
                <c:pt idx="4">
                  <c:v>may</c:v>
                </c:pt>
                <c:pt idx="5">
                  <c:v>jun</c:v>
                </c:pt>
                <c:pt idx="6">
                  <c:v>jul</c:v>
                </c:pt>
                <c:pt idx="7">
                  <c:v>aug</c:v>
                </c:pt>
                <c:pt idx="8">
                  <c:v>sep</c:v>
                </c:pt>
                <c:pt idx="9">
                  <c:v>oct</c:v>
                </c:pt>
                <c:pt idx="10">
                  <c:v>nov</c:v>
                </c:pt>
                <c:pt idx="11">
                  <c:v>dec</c:v>
                </c:pt>
              </c:strCache>
            </c:strRef>
          </c:cat>
          <c:val>
            <c:numRef>
              <c:f>sertao!$B$3:$M$3</c:f>
              <c:numCache>
                <c:formatCode>General</c:formatCode>
                <c:ptCount val="12"/>
                <c:pt idx="0">
                  <c:v>139.19999999999999</c:v>
                </c:pt>
                <c:pt idx="1">
                  <c:v>111</c:v>
                </c:pt>
                <c:pt idx="2">
                  <c:v>107.6</c:v>
                </c:pt>
                <c:pt idx="3">
                  <c:v>90.4</c:v>
                </c:pt>
                <c:pt idx="4">
                  <c:v>77.5</c:v>
                </c:pt>
                <c:pt idx="5">
                  <c:v>62.4</c:v>
                </c:pt>
                <c:pt idx="6">
                  <c:v>62.8</c:v>
                </c:pt>
                <c:pt idx="7">
                  <c:v>72.2</c:v>
                </c:pt>
                <c:pt idx="8">
                  <c:v>90.6</c:v>
                </c:pt>
                <c:pt idx="9">
                  <c:v>117.8</c:v>
                </c:pt>
                <c:pt idx="10">
                  <c:v>130.9</c:v>
                </c:pt>
                <c:pt idx="11">
                  <c:v>145.1</c:v>
                </c:pt>
              </c:numCache>
            </c:numRef>
          </c:val>
        </c:ser>
        <c:ser>
          <c:idx val="2"/>
          <c:order val="2"/>
          <c:tx>
            <c:v>Exu</c:v>
          </c:tx>
          <c:spPr>
            <a:ln w="3175">
              <a:solidFill>
                <a:prstClr val="black"/>
              </a:solidFill>
            </a:ln>
          </c:spPr>
          <c:marker>
            <c:spPr>
              <a:noFill/>
              <a:ln w="3175"/>
            </c:spPr>
          </c:marker>
          <c:val>
            <c:numRef>
              <c:f>sertao!$B$4:$M$4</c:f>
              <c:numCache>
                <c:formatCode>General</c:formatCode>
                <c:ptCount val="12"/>
                <c:pt idx="0">
                  <c:v>160.19999999999999</c:v>
                </c:pt>
                <c:pt idx="1">
                  <c:v>121.6</c:v>
                </c:pt>
                <c:pt idx="2">
                  <c:v>113.5</c:v>
                </c:pt>
                <c:pt idx="3">
                  <c:v>94.9</c:v>
                </c:pt>
                <c:pt idx="4">
                  <c:v>82.2</c:v>
                </c:pt>
                <c:pt idx="5">
                  <c:v>67.900000000000006</c:v>
                </c:pt>
                <c:pt idx="6">
                  <c:v>71</c:v>
                </c:pt>
                <c:pt idx="7">
                  <c:v>87.8</c:v>
                </c:pt>
                <c:pt idx="8">
                  <c:v>117.9</c:v>
                </c:pt>
                <c:pt idx="9">
                  <c:v>155.5</c:v>
                </c:pt>
                <c:pt idx="10">
                  <c:v>163.80000000000001</c:v>
                </c:pt>
                <c:pt idx="11">
                  <c:v>171.9</c:v>
                </c:pt>
              </c:numCache>
            </c:numRef>
          </c:val>
        </c:ser>
        <c:ser>
          <c:idx val="3"/>
          <c:order val="3"/>
          <c:tx>
            <c:v>S. J. Belmonte</c:v>
          </c:tx>
          <c:spPr>
            <a:ln w="3175">
              <a:solidFill>
                <a:prstClr val="black"/>
              </a:solidFill>
            </a:ln>
          </c:spPr>
          <c:marker>
            <c:spPr>
              <a:noFill/>
              <a:ln w="3175"/>
            </c:spPr>
          </c:marker>
          <c:val>
            <c:numRef>
              <c:f>sertao!$B$5:$M$5</c:f>
              <c:numCache>
                <c:formatCode>General</c:formatCode>
                <c:ptCount val="12"/>
                <c:pt idx="0">
                  <c:v>165.2</c:v>
                </c:pt>
                <c:pt idx="1">
                  <c:v>128.9</c:v>
                </c:pt>
                <c:pt idx="2">
                  <c:v>122.4</c:v>
                </c:pt>
                <c:pt idx="3">
                  <c:v>101.4</c:v>
                </c:pt>
                <c:pt idx="4">
                  <c:v>85.9</c:v>
                </c:pt>
                <c:pt idx="5">
                  <c:v>70.3</c:v>
                </c:pt>
                <c:pt idx="6">
                  <c:v>71.099999999999994</c:v>
                </c:pt>
                <c:pt idx="7">
                  <c:v>86.4</c:v>
                </c:pt>
                <c:pt idx="8">
                  <c:v>113.1</c:v>
                </c:pt>
                <c:pt idx="9">
                  <c:v>151.69999999999999</c:v>
                </c:pt>
                <c:pt idx="10">
                  <c:v>162.80000000000001</c:v>
                </c:pt>
                <c:pt idx="11">
                  <c:v>174.8</c:v>
                </c:pt>
              </c:numCache>
            </c:numRef>
          </c:val>
        </c:ser>
        <c:ser>
          <c:idx val="4"/>
          <c:order val="4"/>
          <c:tx>
            <c:v>Verdejante</c:v>
          </c:tx>
          <c:spPr>
            <a:ln w="3175">
              <a:solidFill>
                <a:sysClr val="windowText" lastClr="000000"/>
              </a:solidFill>
            </a:ln>
          </c:spPr>
          <c:marker>
            <c:spPr>
              <a:noFill/>
              <a:ln w="3175">
                <a:solidFill>
                  <a:sysClr val="windowText" lastClr="000000"/>
                </a:solidFill>
              </a:ln>
            </c:spPr>
          </c:marker>
          <c:val>
            <c:numRef>
              <c:f>sertao!$B$6:$M$6</c:f>
              <c:numCache>
                <c:formatCode>General</c:formatCode>
                <c:ptCount val="12"/>
                <c:pt idx="0">
                  <c:v>167.9</c:v>
                </c:pt>
                <c:pt idx="1">
                  <c:v>128.69999999999999</c:v>
                </c:pt>
                <c:pt idx="2">
                  <c:v>123.7</c:v>
                </c:pt>
                <c:pt idx="3">
                  <c:v>102.5</c:v>
                </c:pt>
                <c:pt idx="4">
                  <c:v>85.6</c:v>
                </c:pt>
                <c:pt idx="5">
                  <c:v>69.599999999999994</c:v>
                </c:pt>
                <c:pt idx="6">
                  <c:v>71.8</c:v>
                </c:pt>
                <c:pt idx="7">
                  <c:v>87.3</c:v>
                </c:pt>
                <c:pt idx="8">
                  <c:v>115.9</c:v>
                </c:pt>
                <c:pt idx="9">
                  <c:v>155</c:v>
                </c:pt>
                <c:pt idx="10">
                  <c:v>162.80000000000001</c:v>
                </c:pt>
                <c:pt idx="11">
                  <c:v>174.8</c:v>
                </c:pt>
              </c:numCache>
            </c:numRef>
          </c:val>
        </c:ser>
        <c:ser>
          <c:idx val="5"/>
          <c:order val="5"/>
          <c:tx>
            <c:v>Parnamirim</c:v>
          </c:tx>
          <c:spPr>
            <a:ln w="3175">
              <a:solidFill>
                <a:sysClr val="windowText" lastClr="000000"/>
              </a:solidFill>
            </a:ln>
          </c:spPr>
          <c:marker>
            <c:spPr>
              <a:noFill/>
              <a:ln w="3175">
                <a:solidFill>
                  <a:sysClr val="windowText" lastClr="000000"/>
                </a:solidFill>
              </a:ln>
            </c:spPr>
          </c:marker>
          <c:val>
            <c:numRef>
              <c:f>sertao!$B$7:$M$7</c:f>
              <c:numCache>
                <c:formatCode>General</c:formatCode>
                <c:ptCount val="12"/>
                <c:pt idx="0">
                  <c:v>175.8</c:v>
                </c:pt>
                <c:pt idx="1">
                  <c:v>144.9</c:v>
                </c:pt>
                <c:pt idx="2">
                  <c:v>134.1</c:v>
                </c:pt>
                <c:pt idx="3">
                  <c:v>109.3</c:v>
                </c:pt>
                <c:pt idx="4">
                  <c:v>90.6</c:v>
                </c:pt>
                <c:pt idx="5">
                  <c:v>74.099999999999994</c:v>
                </c:pt>
                <c:pt idx="6">
                  <c:v>75.5</c:v>
                </c:pt>
                <c:pt idx="7">
                  <c:v>93.5</c:v>
                </c:pt>
                <c:pt idx="8">
                  <c:v>127.4</c:v>
                </c:pt>
                <c:pt idx="9">
                  <c:v>162.19999999999999</c:v>
                </c:pt>
                <c:pt idx="10">
                  <c:v>174.4</c:v>
                </c:pt>
                <c:pt idx="11">
                  <c:v>183.4</c:v>
                </c:pt>
              </c:numCache>
            </c:numRef>
          </c:val>
        </c:ser>
        <c:ser>
          <c:idx val="6"/>
          <c:order val="6"/>
          <c:tx>
            <c:v>Salgueiro</c:v>
          </c:tx>
          <c:spPr>
            <a:ln w="3175">
              <a:solidFill>
                <a:sysClr val="windowText" lastClr="000000"/>
              </a:solidFill>
            </a:ln>
          </c:spPr>
          <c:marker>
            <c:spPr>
              <a:noFill/>
              <a:ln w="3175">
                <a:solidFill>
                  <a:sysClr val="windowText" lastClr="000000"/>
                </a:solidFill>
              </a:ln>
            </c:spPr>
          </c:marker>
          <c:val>
            <c:numRef>
              <c:f>sertao!$B$8:$M$8</c:f>
              <c:numCache>
                <c:formatCode>General</c:formatCode>
                <c:ptCount val="12"/>
                <c:pt idx="0">
                  <c:v>171.6</c:v>
                </c:pt>
                <c:pt idx="1">
                  <c:v>135</c:v>
                </c:pt>
                <c:pt idx="2">
                  <c:v>129.69999999999999</c:v>
                </c:pt>
                <c:pt idx="3">
                  <c:v>105.9</c:v>
                </c:pt>
                <c:pt idx="4">
                  <c:v>88.3</c:v>
                </c:pt>
                <c:pt idx="5">
                  <c:v>71.7</c:v>
                </c:pt>
                <c:pt idx="6">
                  <c:v>72.8</c:v>
                </c:pt>
                <c:pt idx="7">
                  <c:v>88.4</c:v>
                </c:pt>
                <c:pt idx="8">
                  <c:v>119.9</c:v>
                </c:pt>
                <c:pt idx="9">
                  <c:v>158.4</c:v>
                </c:pt>
                <c:pt idx="10">
                  <c:v>170.4</c:v>
                </c:pt>
                <c:pt idx="11">
                  <c:v>179.1</c:v>
                </c:pt>
              </c:numCache>
            </c:numRef>
          </c:val>
        </c:ser>
        <c:ser>
          <c:idx val="7"/>
          <c:order val="7"/>
          <c:tx>
            <c:v>Moxotó</c:v>
          </c:tx>
          <c:spPr>
            <a:ln w="3175">
              <a:solidFill>
                <a:sysClr val="windowText" lastClr="000000"/>
              </a:solidFill>
            </a:ln>
          </c:spPr>
          <c:marker>
            <c:spPr>
              <a:noFill/>
              <a:ln w="3175">
                <a:solidFill>
                  <a:sysClr val="windowText" lastClr="000000"/>
                </a:solidFill>
              </a:ln>
            </c:spPr>
          </c:marker>
          <c:val>
            <c:numRef>
              <c:f>sertao!$B$9:$M$9</c:f>
              <c:numCache>
                <c:formatCode>General</c:formatCode>
                <c:ptCount val="12"/>
                <c:pt idx="0">
                  <c:v>136.5</c:v>
                </c:pt>
                <c:pt idx="1">
                  <c:v>116.9</c:v>
                </c:pt>
                <c:pt idx="2">
                  <c:v>122.6</c:v>
                </c:pt>
                <c:pt idx="3">
                  <c:v>112.1</c:v>
                </c:pt>
                <c:pt idx="4">
                  <c:v>99.1</c:v>
                </c:pt>
                <c:pt idx="5">
                  <c:v>81.900000000000006</c:v>
                </c:pt>
                <c:pt idx="6">
                  <c:v>77.2</c:v>
                </c:pt>
                <c:pt idx="7">
                  <c:v>82.9</c:v>
                </c:pt>
                <c:pt idx="8">
                  <c:v>97.5</c:v>
                </c:pt>
                <c:pt idx="9">
                  <c:v>122.7</c:v>
                </c:pt>
                <c:pt idx="10">
                  <c:v>131.4</c:v>
                </c:pt>
                <c:pt idx="11">
                  <c:v>137</c:v>
                </c:pt>
              </c:numCache>
            </c:numRef>
          </c:val>
        </c:ser>
        <c:ser>
          <c:idx val="8"/>
          <c:order val="8"/>
          <c:tx>
            <c:v>Arcoverde</c:v>
          </c:tx>
          <c:spPr>
            <a:ln w="3175">
              <a:solidFill>
                <a:sysClr val="windowText" lastClr="000000"/>
              </a:solidFill>
            </a:ln>
          </c:spPr>
          <c:marker>
            <c:spPr>
              <a:noFill/>
              <a:ln w="3175">
                <a:solidFill>
                  <a:sysClr val="windowText" lastClr="000000"/>
                </a:solidFill>
              </a:ln>
            </c:spPr>
          </c:marker>
          <c:val>
            <c:numRef>
              <c:f>sertao!$B$10:$M$10</c:f>
              <c:numCache>
                <c:formatCode>General</c:formatCode>
                <c:ptCount val="12"/>
                <c:pt idx="0">
                  <c:v>111.4</c:v>
                </c:pt>
                <c:pt idx="1">
                  <c:v>97.1</c:v>
                </c:pt>
                <c:pt idx="2">
                  <c:v>102.1</c:v>
                </c:pt>
                <c:pt idx="3">
                  <c:v>92.6</c:v>
                </c:pt>
                <c:pt idx="4">
                  <c:v>82.9</c:v>
                </c:pt>
                <c:pt idx="5">
                  <c:v>69.5</c:v>
                </c:pt>
                <c:pt idx="6">
                  <c:v>65.8</c:v>
                </c:pt>
                <c:pt idx="7">
                  <c:v>69.5</c:v>
                </c:pt>
                <c:pt idx="8">
                  <c:v>79.7</c:v>
                </c:pt>
                <c:pt idx="9">
                  <c:v>100</c:v>
                </c:pt>
                <c:pt idx="10">
                  <c:v>106.4</c:v>
                </c:pt>
                <c:pt idx="11">
                  <c:v>113.3</c:v>
                </c:pt>
              </c:numCache>
            </c:numRef>
          </c:val>
        </c:ser>
        <c:ser>
          <c:idx val="9"/>
          <c:order val="9"/>
          <c:tx>
            <c:v>Serra talhada</c:v>
          </c:tx>
          <c:spPr>
            <a:ln w="3175">
              <a:solidFill>
                <a:sysClr val="windowText" lastClr="000000"/>
              </a:solidFill>
            </a:ln>
          </c:spPr>
          <c:marker>
            <c:spPr>
              <a:noFill/>
              <a:ln w="3175">
                <a:solidFill>
                  <a:sysClr val="windowText" lastClr="000000"/>
                </a:solidFill>
              </a:ln>
            </c:spPr>
          </c:marker>
          <c:val>
            <c:numRef>
              <c:f>sertao!$B$11:$M$11</c:f>
              <c:numCache>
                <c:formatCode>General</c:formatCode>
                <c:ptCount val="12"/>
                <c:pt idx="0">
                  <c:v>131.4</c:v>
                </c:pt>
                <c:pt idx="1">
                  <c:v>107.5</c:v>
                </c:pt>
                <c:pt idx="2">
                  <c:v>109.9</c:v>
                </c:pt>
                <c:pt idx="3">
                  <c:v>102</c:v>
                </c:pt>
                <c:pt idx="4">
                  <c:v>94.7</c:v>
                </c:pt>
                <c:pt idx="5">
                  <c:v>80.7</c:v>
                </c:pt>
                <c:pt idx="6">
                  <c:v>80.099999999999994</c:v>
                </c:pt>
                <c:pt idx="7">
                  <c:v>88.1</c:v>
                </c:pt>
                <c:pt idx="8">
                  <c:v>105.6</c:v>
                </c:pt>
                <c:pt idx="9">
                  <c:v>127.4</c:v>
                </c:pt>
                <c:pt idx="10">
                  <c:v>131.1</c:v>
                </c:pt>
                <c:pt idx="11">
                  <c:v>135.1</c:v>
                </c:pt>
              </c:numCache>
            </c:numRef>
          </c:val>
        </c:ser>
        <c:marker val="1"/>
        <c:axId val="142605312"/>
        <c:axId val="142616064"/>
      </c:lineChart>
      <c:catAx>
        <c:axId val="142605312"/>
        <c:scaling>
          <c:orientation val="minMax"/>
        </c:scaling>
        <c:axPos val="b"/>
        <c:title>
          <c:tx>
            <c:rich>
              <a:bodyPr/>
              <a:lstStyle/>
              <a:p>
                <a:pPr>
                  <a:defRPr sz="800">
                    <a:latin typeface="Times New Roman" pitchFamily="18" charset="0"/>
                    <a:cs typeface="Times New Roman" pitchFamily="18" charset="0"/>
                  </a:defRPr>
                </a:pPr>
                <a:r>
                  <a:rPr lang="pt-BR" sz="800">
                    <a:latin typeface="Times New Roman" pitchFamily="18" charset="0"/>
                    <a:cs typeface="Times New Roman" pitchFamily="18" charset="0"/>
                  </a:rPr>
                  <a:t>Months</a:t>
                </a:r>
              </a:p>
            </c:rich>
          </c:tx>
          <c:layout>
            <c:manualLayout>
              <c:xMode val="edge"/>
              <c:yMode val="edge"/>
              <c:x val="0.49230536830378241"/>
              <c:y val="0.7458968124735128"/>
            </c:manualLayout>
          </c:layout>
          <c:spPr>
            <a:ln w="3175"/>
          </c:spPr>
        </c:title>
        <c:majorTickMark val="none"/>
        <c:minorTickMark val="out"/>
        <c:tickLblPos val="nextTo"/>
        <c:spPr>
          <a:noFill/>
          <a:ln w="6350">
            <a:solidFill>
              <a:schemeClr val="tx1"/>
            </a:solidFill>
          </a:ln>
        </c:spPr>
        <c:txPr>
          <a:bodyPr rot="-5400000" vert="horz"/>
          <a:lstStyle/>
          <a:p>
            <a:pPr>
              <a:defRPr sz="800">
                <a:latin typeface="Times New Roman" pitchFamily="18" charset="0"/>
                <a:cs typeface="Times New Roman" pitchFamily="18" charset="0"/>
              </a:defRPr>
            </a:pPr>
            <a:endParaRPr lang="pt-BR"/>
          </a:p>
        </c:txPr>
        <c:crossAx val="142616064"/>
        <c:crosses val="autoZero"/>
        <c:auto val="1"/>
        <c:lblAlgn val="ctr"/>
        <c:lblOffset val="100"/>
      </c:catAx>
      <c:valAx>
        <c:axId val="142616064"/>
        <c:scaling>
          <c:orientation val="minMax"/>
          <c:min val="50"/>
        </c:scaling>
        <c:axPos val="l"/>
        <c:numFmt formatCode="General" sourceLinked="1"/>
        <c:tickLblPos val="nextTo"/>
        <c:spPr>
          <a:ln>
            <a:solidFill>
              <a:schemeClr val="tx1"/>
            </a:solidFill>
          </a:ln>
        </c:spPr>
        <c:txPr>
          <a:bodyPr/>
          <a:lstStyle/>
          <a:p>
            <a:pPr>
              <a:defRPr sz="800">
                <a:latin typeface="Times New Roman" pitchFamily="18" charset="0"/>
                <a:cs typeface="Times New Roman" pitchFamily="18" charset="0"/>
              </a:defRPr>
            </a:pPr>
            <a:endParaRPr lang="pt-BR"/>
          </a:p>
        </c:txPr>
        <c:crossAx val="142605312"/>
        <c:crosses val="autoZero"/>
        <c:crossBetween val="between"/>
      </c:valAx>
      <c:spPr>
        <a:noFill/>
        <a:ln w="25400">
          <a:noFill/>
        </a:ln>
      </c:spPr>
    </c:plotArea>
    <c:legend>
      <c:legendPos val="r"/>
      <c:layout>
        <c:manualLayout>
          <c:xMode val="edge"/>
          <c:yMode val="edge"/>
          <c:x val="0"/>
          <c:y val="0.82974894053760273"/>
          <c:w val="0.99316368334029559"/>
          <c:h val="0.17025105946239846"/>
        </c:manualLayout>
      </c:layout>
      <c:txPr>
        <a:bodyPr/>
        <a:lstStyle/>
        <a:p>
          <a:pPr>
            <a:defRPr sz="700">
              <a:latin typeface="Times New Roman" pitchFamily="18" charset="0"/>
              <a:cs typeface="Times New Roman" pitchFamily="18" charset="0"/>
            </a:defRPr>
          </a:pPr>
          <a:endParaRPr lang="pt-BR"/>
        </a:p>
      </c:txPr>
    </c:legend>
    <c:plotVisOnly val="1"/>
  </c:chart>
  <c:spPr>
    <a:ln>
      <a:noFill/>
    </a:ln>
  </c:spPr>
  <c:externalData r:id="rId1"/>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FB9746-CF0A-424E-9CC4-6F918E224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3556</Words>
  <Characters>19205</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João</dc:creator>
  <cp:lastModifiedBy>.</cp:lastModifiedBy>
  <cp:revision>2</cp:revision>
  <dcterms:created xsi:type="dcterms:W3CDTF">2012-11-04T00:11:00Z</dcterms:created>
  <dcterms:modified xsi:type="dcterms:W3CDTF">2012-11-04T00:11:00Z</dcterms:modified>
</cp:coreProperties>
</file>