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AD0" w:rsidRDefault="00D53AD0" w:rsidP="007549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744893D6" wp14:editId="3FB06F4B">
            <wp:extent cx="5829300" cy="3924300"/>
            <wp:effectExtent l="0" t="0" r="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754982" w:rsidRPr="00C5782F" w:rsidRDefault="00754982" w:rsidP="0075498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C5782F">
        <w:rPr>
          <w:rFonts w:ascii="Times New Roman" w:hAnsi="Times New Roman" w:cs="Times New Roman"/>
          <w:b/>
          <w:sz w:val="24"/>
          <w:szCs w:val="24"/>
          <w:lang w:val="pt-BR"/>
        </w:rPr>
        <w:t>Figura 1.</w:t>
      </w:r>
      <w:r w:rsidRPr="00C5782F">
        <w:rPr>
          <w:rFonts w:ascii="Times New Roman" w:hAnsi="Times New Roman" w:cs="Times New Roman"/>
          <w:sz w:val="24"/>
          <w:szCs w:val="24"/>
          <w:lang w:val="pt-BR"/>
        </w:rPr>
        <w:t xml:space="preserve"> Valores diários de umidade relativa, precipitação e temperatura média do ar, que foram registrados durante o período do experimento. </w:t>
      </w:r>
      <w:proofErr w:type="spellStart"/>
      <w:r w:rsidRPr="00C5782F">
        <w:rPr>
          <w:rFonts w:ascii="Times New Roman" w:hAnsi="Times New Roman" w:cs="Times New Roman"/>
          <w:sz w:val="24"/>
          <w:szCs w:val="24"/>
          <w:lang w:val="pt-BR"/>
        </w:rPr>
        <w:t>Selvíria</w:t>
      </w:r>
      <w:proofErr w:type="spellEnd"/>
      <w:r w:rsidRPr="00C5782F">
        <w:rPr>
          <w:rFonts w:ascii="Times New Roman" w:hAnsi="Times New Roman" w:cs="Times New Roman"/>
          <w:sz w:val="24"/>
          <w:szCs w:val="24"/>
          <w:lang w:val="pt-BR"/>
        </w:rPr>
        <w:t>, MS, 2011.</w:t>
      </w:r>
    </w:p>
    <w:p w:rsidR="00754982" w:rsidRDefault="00754982">
      <w:bookmarkStart w:id="0" w:name="_GoBack"/>
      <w:bookmarkEnd w:id="0"/>
    </w:p>
    <w:sectPr w:rsidR="0075498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982"/>
    <w:rsid w:val="00754982"/>
    <w:rsid w:val="00AE3230"/>
    <w:rsid w:val="00D5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5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9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54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9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T_TERUO\Desktop\Revista%20Agrarian_milho%20safrinha%202011_plantio%20convencional\Dados_clim&#225;ticos_milho%20Safrinha%202011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669554918667975E-2"/>
          <c:y val="0.20410100698197034"/>
          <c:w val="0.91288748175407564"/>
          <c:h val="0.52521863688607551"/>
        </c:manualLayout>
      </c:layout>
      <c:barChart>
        <c:barDir val="col"/>
        <c:grouping val="clustered"/>
        <c:varyColors val="0"/>
        <c:ser>
          <c:idx val="2"/>
          <c:order val="2"/>
          <c:tx>
            <c:v>P (mm)</c:v>
          </c:tx>
          <c:spPr>
            <a:solidFill>
              <a:prstClr val="black"/>
            </a:solidFill>
            <a:ln w="19050">
              <a:solidFill>
                <a:schemeClr val="tx1"/>
              </a:solidFill>
            </a:ln>
          </c:spPr>
          <c:invertIfNegative val="0"/>
          <c:cat>
            <c:numRef>
              <c:f>Plan1!$D$13:$D$131</c:f>
              <c:numCache>
                <c:formatCode>m/d/yyyy</c:formatCode>
                <c:ptCount val="119"/>
                <c:pt idx="0">
                  <c:v>40725</c:v>
                </c:pt>
                <c:pt idx="1">
                  <c:v>40726</c:v>
                </c:pt>
                <c:pt idx="2">
                  <c:v>40727</c:v>
                </c:pt>
                <c:pt idx="3">
                  <c:v>40728</c:v>
                </c:pt>
                <c:pt idx="4">
                  <c:v>40729</c:v>
                </c:pt>
                <c:pt idx="5">
                  <c:v>40730</c:v>
                </c:pt>
                <c:pt idx="6">
                  <c:v>40731</c:v>
                </c:pt>
                <c:pt idx="7">
                  <c:v>40732</c:v>
                </c:pt>
                <c:pt idx="8">
                  <c:v>40733</c:v>
                </c:pt>
                <c:pt idx="9">
                  <c:v>40734</c:v>
                </c:pt>
                <c:pt idx="10">
                  <c:v>40735</c:v>
                </c:pt>
                <c:pt idx="11">
                  <c:v>40736</c:v>
                </c:pt>
                <c:pt idx="12">
                  <c:v>40737</c:v>
                </c:pt>
                <c:pt idx="13">
                  <c:v>40738</c:v>
                </c:pt>
                <c:pt idx="14">
                  <c:v>40739</c:v>
                </c:pt>
                <c:pt idx="15">
                  <c:v>40740</c:v>
                </c:pt>
                <c:pt idx="16">
                  <c:v>40741</c:v>
                </c:pt>
                <c:pt idx="17">
                  <c:v>40742</c:v>
                </c:pt>
                <c:pt idx="18">
                  <c:v>40743</c:v>
                </c:pt>
                <c:pt idx="19">
                  <c:v>40744</c:v>
                </c:pt>
                <c:pt idx="20">
                  <c:v>40745</c:v>
                </c:pt>
                <c:pt idx="21">
                  <c:v>40746</c:v>
                </c:pt>
                <c:pt idx="22">
                  <c:v>40747</c:v>
                </c:pt>
                <c:pt idx="23">
                  <c:v>40748</c:v>
                </c:pt>
                <c:pt idx="24">
                  <c:v>40749</c:v>
                </c:pt>
                <c:pt idx="25">
                  <c:v>40750</c:v>
                </c:pt>
                <c:pt idx="26">
                  <c:v>40751</c:v>
                </c:pt>
                <c:pt idx="27">
                  <c:v>40752</c:v>
                </c:pt>
                <c:pt idx="28">
                  <c:v>40753</c:v>
                </c:pt>
                <c:pt idx="29">
                  <c:v>40754</c:v>
                </c:pt>
                <c:pt idx="30">
                  <c:v>40755</c:v>
                </c:pt>
                <c:pt idx="31">
                  <c:v>40756</c:v>
                </c:pt>
                <c:pt idx="32">
                  <c:v>40757</c:v>
                </c:pt>
                <c:pt idx="33">
                  <c:v>40758</c:v>
                </c:pt>
                <c:pt idx="34">
                  <c:v>40759</c:v>
                </c:pt>
                <c:pt idx="35">
                  <c:v>40760</c:v>
                </c:pt>
                <c:pt idx="36">
                  <c:v>40761</c:v>
                </c:pt>
                <c:pt idx="37">
                  <c:v>40762</c:v>
                </c:pt>
                <c:pt idx="38">
                  <c:v>40763</c:v>
                </c:pt>
                <c:pt idx="39">
                  <c:v>40764</c:v>
                </c:pt>
                <c:pt idx="40">
                  <c:v>40765</c:v>
                </c:pt>
                <c:pt idx="41">
                  <c:v>40766</c:v>
                </c:pt>
                <c:pt idx="42">
                  <c:v>40767</c:v>
                </c:pt>
                <c:pt idx="43">
                  <c:v>40768</c:v>
                </c:pt>
                <c:pt idx="44">
                  <c:v>40769</c:v>
                </c:pt>
                <c:pt idx="45">
                  <c:v>40770</c:v>
                </c:pt>
                <c:pt idx="46">
                  <c:v>40771</c:v>
                </c:pt>
                <c:pt idx="47">
                  <c:v>40772</c:v>
                </c:pt>
                <c:pt idx="48">
                  <c:v>40773</c:v>
                </c:pt>
                <c:pt idx="49">
                  <c:v>40774</c:v>
                </c:pt>
                <c:pt idx="50">
                  <c:v>40775</c:v>
                </c:pt>
                <c:pt idx="51">
                  <c:v>40776</c:v>
                </c:pt>
                <c:pt idx="52">
                  <c:v>40777</c:v>
                </c:pt>
                <c:pt idx="53">
                  <c:v>40778</c:v>
                </c:pt>
                <c:pt idx="54">
                  <c:v>40779</c:v>
                </c:pt>
                <c:pt idx="55">
                  <c:v>40780</c:v>
                </c:pt>
                <c:pt idx="56">
                  <c:v>40781</c:v>
                </c:pt>
                <c:pt idx="57">
                  <c:v>40782</c:v>
                </c:pt>
                <c:pt idx="58">
                  <c:v>40783</c:v>
                </c:pt>
                <c:pt idx="59">
                  <c:v>40784</c:v>
                </c:pt>
                <c:pt idx="60">
                  <c:v>40785</c:v>
                </c:pt>
                <c:pt idx="61">
                  <c:v>40786</c:v>
                </c:pt>
                <c:pt idx="62">
                  <c:v>40787</c:v>
                </c:pt>
                <c:pt idx="63">
                  <c:v>40788</c:v>
                </c:pt>
                <c:pt idx="64">
                  <c:v>40789</c:v>
                </c:pt>
                <c:pt idx="65">
                  <c:v>40790</c:v>
                </c:pt>
                <c:pt idx="66">
                  <c:v>40791</c:v>
                </c:pt>
                <c:pt idx="67">
                  <c:v>40792</c:v>
                </c:pt>
                <c:pt idx="68">
                  <c:v>40793</c:v>
                </c:pt>
                <c:pt idx="69">
                  <c:v>40794</c:v>
                </c:pt>
                <c:pt idx="70">
                  <c:v>40795</c:v>
                </c:pt>
                <c:pt idx="71">
                  <c:v>40796</c:v>
                </c:pt>
                <c:pt idx="72">
                  <c:v>40797</c:v>
                </c:pt>
                <c:pt idx="73">
                  <c:v>40798</c:v>
                </c:pt>
                <c:pt idx="74">
                  <c:v>40799</c:v>
                </c:pt>
                <c:pt idx="75">
                  <c:v>40800</c:v>
                </c:pt>
                <c:pt idx="76">
                  <c:v>40801</c:v>
                </c:pt>
                <c:pt idx="77">
                  <c:v>40802</c:v>
                </c:pt>
                <c:pt idx="78">
                  <c:v>40803</c:v>
                </c:pt>
                <c:pt idx="79">
                  <c:v>40804</c:v>
                </c:pt>
                <c:pt idx="80">
                  <c:v>40805</c:v>
                </c:pt>
                <c:pt idx="81">
                  <c:v>40806</c:v>
                </c:pt>
                <c:pt idx="82">
                  <c:v>40807</c:v>
                </c:pt>
                <c:pt idx="83">
                  <c:v>40808</c:v>
                </c:pt>
                <c:pt idx="84">
                  <c:v>40809</c:v>
                </c:pt>
                <c:pt idx="85">
                  <c:v>40810</c:v>
                </c:pt>
                <c:pt idx="86">
                  <c:v>40811</c:v>
                </c:pt>
                <c:pt idx="87">
                  <c:v>40812</c:v>
                </c:pt>
                <c:pt idx="88">
                  <c:v>40813</c:v>
                </c:pt>
                <c:pt idx="89">
                  <c:v>40814</c:v>
                </c:pt>
                <c:pt idx="90">
                  <c:v>40815</c:v>
                </c:pt>
                <c:pt idx="91">
                  <c:v>40816</c:v>
                </c:pt>
                <c:pt idx="92">
                  <c:v>40817</c:v>
                </c:pt>
                <c:pt idx="93">
                  <c:v>40818</c:v>
                </c:pt>
                <c:pt idx="94">
                  <c:v>40819</c:v>
                </c:pt>
                <c:pt idx="95">
                  <c:v>40820</c:v>
                </c:pt>
                <c:pt idx="96">
                  <c:v>40821</c:v>
                </c:pt>
                <c:pt idx="97">
                  <c:v>40822</c:v>
                </c:pt>
                <c:pt idx="98">
                  <c:v>40823</c:v>
                </c:pt>
                <c:pt idx="99">
                  <c:v>40824</c:v>
                </c:pt>
                <c:pt idx="100">
                  <c:v>40825</c:v>
                </c:pt>
                <c:pt idx="101">
                  <c:v>40826</c:v>
                </c:pt>
                <c:pt idx="102">
                  <c:v>40827</c:v>
                </c:pt>
                <c:pt idx="103">
                  <c:v>40828</c:v>
                </c:pt>
                <c:pt idx="104">
                  <c:v>40829</c:v>
                </c:pt>
                <c:pt idx="105">
                  <c:v>40830</c:v>
                </c:pt>
                <c:pt idx="106">
                  <c:v>40831</c:v>
                </c:pt>
                <c:pt idx="107">
                  <c:v>40832</c:v>
                </c:pt>
                <c:pt idx="108">
                  <c:v>40833</c:v>
                </c:pt>
                <c:pt idx="109">
                  <c:v>40834</c:v>
                </c:pt>
                <c:pt idx="110">
                  <c:v>40835</c:v>
                </c:pt>
                <c:pt idx="111">
                  <c:v>40836</c:v>
                </c:pt>
                <c:pt idx="112">
                  <c:v>40837</c:v>
                </c:pt>
                <c:pt idx="113">
                  <c:v>40838</c:v>
                </c:pt>
                <c:pt idx="114">
                  <c:v>40839</c:v>
                </c:pt>
                <c:pt idx="115">
                  <c:v>40840</c:v>
                </c:pt>
                <c:pt idx="116">
                  <c:v>40841</c:v>
                </c:pt>
                <c:pt idx="117">
                  <c:v>40842</c:v>
                </c:pt>
                <c:pt idx="118">
                  <c:v>40843</c:v>
                </c:pt>
              </c:numCache>
            </c:numRef>
          </c:cat>
          <c:val>
            <c:numRef>
              <c:f>Plan1!$G$13:$G$131</c:f>
              <c:numCache>
                <c:formatCode>General</c:formatCode>
                <c:ptCount val="11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 formatCode="0.00">
                  <c:v>0</c:v>
                </c:pt>
                <c:pt idx="63" formatCode="0.00">
                  <c:v>0</c:v>
                </c:pt>
                <c:pt idx="64" formatCode="0.00">
                  <c:v>0</c:v>
                </c:pt>
                <c:pt idx="65" formatCode="0.00">
                  <c:v>0</c:v>
                </c:pt>
                <c:pt idx="66" formatCode="0.00">
                  <c:v>0</c:v>
                </c:pt>
                <c:pt idx="67" formatCode="0.00">
                  <c:v>0</c:v>
                </c:pt>
                <c:pt idx="68" formatCode="0.00">
                  <c:v>0</c:v>
                </c:pt>
                <c:pt idx="69" formatCode="0.00">
                  <c:v>0</c:v>
                </c:pt>
                <c:pt idx="70" formatCode="0.00">
                  <c:v>0</c:v>
                </c:pt>
                <c:pt idx="71" formatCode="0.00">
                  <c:v>2</c:v>
                </c:pt>
                <c:pt idx="72" formatCode="0.00">
                  <c:v>0</c:v>
                </c:pt>
                <c:pt idx="73" formatCode="0.00">
                  <c:v>0</c:v>
                </c:pt>
                <c:pt idx="74" formatCode="0.00">
                  <c:v>0</c:v>
                </c:pt>
                <c:pt idx="75" formatCode="0.00">
                  <c:v>0</c:v>
                </c:pt>
                <c:pt idx="76" formatCode="0.00">
                  <c:v>0</c:v>
                </c:pt>
                <c:pt idx="77" formatCode="0.00">
                  <c:v>0</c:v>
                </c:pt>
                <c:pt idx="78" formatCode="0.00">
                  <c:v>0</c:v>
                </c:pt>
                <c:pt idx="79" formatCode="0.00">
                  <c:v>0</c:v>
                </c:pt>
                <c:pt idx="80" formatCode="0.00">
                  <c:v>0</c:v>
                </c:pt>
                <c:pt idx="81" formatCode="0.00">
                  <c:v>0</c:v>
                </c:pt>
                <c:pt idx="82" formatCode="0.00">
                  <c:v>0</c:v>
                </c:pt>
                <c:pt idx="83" formatCode="0.00">
                  <c:v>0</c:v>
                </c:pt>
                <c:pt idx="84" formatCode="0.00">
                  <c:v>0.5</c:v>
                </c:pt>
                <c:pt idx="85" formatCode="0.00">
                  <c:v>0</c:v>
                </c:pt>
                <c:pt idx="86" formatCode="0.00">
                  <c:v>0</c:v>
                </c:pt>
                <c:pt idx="87" formatCode="0.00">
                  <c:v>0</c:v>
                </c:pt>
                <c:pt idx="88" formatCode="0.00">
                  <c:v>0</c:v>
                </c:pt>
                <c:pt idx="89" formatCode="0.00">
                  <c:v>0</c:v>
                </c:pt>
                <c:pt idx="90" formatCode="0.00">
                  <c:v>0</c:v>
                </c:pt>
                <c:pt idx="91" formatCode="0.00">
                  <c:v>0</c:v>
                </c:pt>
                <c:pt idx="92" formatCode="0.00">
                  <c:v>3</c:v>
                </c:pt>
                <c:pt idx="93" formatCode="0.00">
                  <c:v>0.5</c:v>
                </c:pt>
                <c:pt idx="94" formatCode="0.00">
                  <c:v>0</c:v>
                </c:pt>
                <c:pt idx="95" formatCode="0.00">
                  <c:v>0</c:v>
                </c:pt>
                <c:pt idx="96" formatCode="0.00">
                  <c:v>13.4</c:v>
                </c:pt>
                <c:pt idx="97" formatCode="0.00">
                  <c:v>0</c:v>
                </c:pt>
                <c:pt idx="98" formatCode="0.00">
                  <c:v>0</c:v>
                </c:pt>
                <c:pt idx="99" formatCode="0.00">
                  <c:v>0</c:v>
                </c:pt>
                <c:pt idx="100" formatCode="0.00">
                  <c:v>38.6</c:v>
                </c:pt>
                <c:pt idx="101" formatCode="0.00">
                  <c:v>0.25</c:v>
                </c:pt>
                <c:pt idx="102" formatCode="0.00">
                  <c:v>0</c:v>
                </c:pt>
                <c:pt idx="103" formatCode="0.00">
                  <c:v>5.5</c:v>
                </c:pt>
                <c:pt idx="104" formatCode="0.00">
                  <c:v>6.3</c:v>
                </c:pt>
                <c:pt idx="105" formatCode="0.00">
                  <c:v>14.2</c:v>
                </c:pt>
                <c:pt idx="106" formatCode="0.00">
                  <c:v>0</c:v>
                </c:pt>
                <c:pt idx="107" formatCode="0.00">
                  <c:v>0</c:v>
                </c:pt>
                <c:pt idx="108" formatCode="0.00">
                  <c:v>0</c:v>
                </c:pt>
                <c:pt idx="109" formatCode="0.00">
                  <c:v>0</c:v>
                </c:pt>
                <c:pt idx="110" formatCode="0.00">
                  <c:v>0</c:v>
                </c:pt>
                <c:pt idx="111" formatCode="0.00">
                  <c:v>0</c:v>
                </c:pt>
                <c:pt idx="112" formatCode="0.00">
                  <c:v>0</c:v>
                </c:pt>
                <c:pt idx="113" formatCode="0.00">
                  <c:v>0</c:v>
                </c:pt>
                <c:pt idx="114" formatCode="0.00">
                  <c:v>0</c:v>
                </c:pt>
                <c:pt idx="115" formatCode="0.00">
                  <c:v>1.2</c:v>
                </c:pt>
                <c:pt idx="116" formatCode="0.00">
                  <c:v>31.2</c:v>
                </c:pt>
                <c:pt idx="117" formatCode="0.00">
                  <c:v>0</c:v>
                </c:pt>
                <c:pt idx="118" formatCode="0.00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9410432"/>
        <c:axId val="29412352"/>
      </c:barChart>
      <c:scatterChart>
        <c:scatterStyle val="lineMarker"/>
        <c:varyColors val="0"/>
        <c:ser>
          <c:idx val="0"/>
          <c:order val="0"/>
          <c:tx>
            <c:v>T (ºC)</c:v>
          </c:tx>
          <c:spPr>
            <a:ln w="19050">
              <a:solidFill>
                <a:schemeClr val="tx1"/>
              </a:solidFill>
              <a:prstDash val="solid"/>
            </a:ln>
          </c:spPr>
          <c:marker>
            <c:symbol val="diamond"/>
            <c:size val="5"/>
            <c:spPr>
              <a:solidFill>
                <a:schemeClr val="tx1"/>
              </a:solidFill>
              <a:ln w="19050">
                <a:solidFill>
                  <a:schemeClr val="tx1"/>
                </a:solidFill>
                <a:prstDash val="solid"/>
              </a:ln>
            </c:spPr>
          </c:marker>
          <c:xVal>
            <c:numRef>
              <c:f>Plan1!$D$13:$D$131</c:f>
              <c:numCache>
                <c:formatCode>m/d/yyyy</c:formatCode>
                <c:ptCount val="119"/>
                <c:pt idx="0">
                  <c:v>40725</c:v>
                </c:pt>
                <c:pt idx="1">
                  <c:v>40726</c:v>
                </c:pt>
                <c:pt idx="2">
                  <c:v>40727</c:v>
                </c:pt>
                <c:pt idx="3">
                  <c:v>40728</c:v>
                </c:pt>
                <c:pt idx="4">
                  <c:v>40729</c:v>
                </c:pt>
                <c:pt idx="5">
                  <c:v>40730</c:v>
                </c:pt>
                <c:pt idx="6">
                  <c:v>40731</c:v>
                </c:pt>
                <c:pt idx="7">
                  <c:v>40732</c:v>
                </c:pt>
                <c:pt idx="8">
                  <c:v>40733</c:v>
                </c:pt>
                <c:pt idx="9">
                  <c:v>40734</c:v>
                </c:pt>
                <c:pt idx="10">
                  <c:v>40735</c:v>
                </c:pt>
                <c:pt idx="11">
                  <c:v>40736</c:v>
                </c:pt>
                <c:pt idx="12">
                  <c:v>40737</c:v>
                </c:pt>
                <c:pt idx="13">
                  <c:v>40738</c:v>
                </c:pt>
                <c:pt idx="14">
                  <c:v>40739</c:v>
                </c:pt>
                <c:pt idx="15">
                  <c:v>40740</c:v>
                </c:pt>
                <c:pt idx="16">
                  <c:v>40741</c:v>
                </c:pt>
                <c:pt idx="17">
                  <c:v>40742</c:v>
                </c:pt>
                <c:pt idx="18">
                  <c:v>40743</c:v>
                </c:pt>
                <c:pt idx="19">
                  <c:v>40744</c:v>
                </c:pt>
                <c:pt idx="20">
                  <c:v>40745</c:v>
                </c:pt>
                <c:pt idx="21">
                  <c:v>40746</c:v>
                </c:pt>
                <c:pt idx="22">
                  <c:v>40747</c:v>
                </c:pt>
                <c:pt idx="23">
                  <c:v>40748</c:v>
                </c:pt>
                <c:pt idx="24">
                  <c:v>40749</c:v>
                </c:pt>
                <c:pt idx="25">
                  <c:v>40750</c:v>
                </c:pt>
                <c:pt idx="26">
                  <c:v>40751</c:v>
                </c:pt>
                <c:pt idx="27">
                  <c:v>40752</c:v>
                </c:pt>
                <c:pt idx="28">
                  <c:v>40753</c:v>
                </c:pt>
                <c:pt idx="29">
                  <c:v>40754</c:v>
                </c:pt>
                <c:pt idx="30">
                  <c:v>40755</c:v>
                </c:pt>
                <c:pt idx="31">
                  <c:v>40756</c:v>
                </c:pt>
                <c:pt idx="32">
                  <c:v>40757</c:v>
                </c:pt>
                <c:pt idx="33">
                  <c:v>40758</c:v>
                </c:pt>
                <c:pt idx="34">
                  <c:v>40759</c:v>
                </c:pt>
                <c:pt idx="35">
                  <c:v>40760</c:v>
                </c:pt>
                <c:pt idx="36">
                  <c:v>40761</c:v>
                </c:pt>
                <c:pt idx="37">
                  <c:v>40762</c:v>
                </c:pt>
                <c:pt idx="38">
                  <c:v>40763</c:v>
                </c:pt>
                <c:pt idx="39">
                  <c:v>40764</c:v>
                </c:pt>
                <c:pt idx="40">
                  <c:v>40765</c:v>
                </c:pt>
                <c:pt idx="41">
                  <c:v>40766</c:v>
                </c:pt>
                <c:pt idx="42">
                  <c:v>40767</c:v>
                </c:pt>
                <c:pt idx="43">
                  <c:v>40768</c:v>
                </c:pt>
                <c:pt idx="44">
                  <c:v>40769</c:v>
                </c:pt>
                <c:pt idx="45">
                  <c:v>40770</c:v>
                </c:pt>
                <c:pt idx="46">
                  <c:v>40771</c:v>
                </c:pt>
                <c:pt idx="47">
                  <c:v>40772</c:v>
                </c:pt>
                <c:pt idx="48">
                  <c:v>40773</c:v>
                </c:pt>
                <c:pt idx="49">
                  <c:v>40774</c:v>
                </c:pt>
                <c:pt idx="50">
                  <c:v>40775</c:v>
                </c:pt>
                <c:pt idx="51">
                  <c:v>40776</c:v>
                </c:pt>
                <c:pt idx="52">
                  <c:v>40777</c:v>
                </c:pt>
                <c:pt idx="53">
                  <c:v>40778</c:v>
                </c:pt>
                <c:pt idx="54">
                  <c:v>40779</c:v>
                </c:pt>
                <c:pt idx="55">
                  <c:v>40780</c:v>
                </c:pt>
                <c:pt idx="56">
                  <c:v>40781</c:v>
                </c:pt>
                <c:pt idx="57">
                  <c:v>40782</c:v>
                </c:pt>
                <c:pt idx="58">
                  <c:v>40783</c:v>
                </c:pt>
                <c:pt idx="59">
                  <c:v>40784</c:v>
                </c:pt>
                <c:pt idx="60">
                  <c:v>40785</c:v>
                </c:pt>
                <c:pt idx="61">
                  <c:v>40786</c:v>
                </c:pt>
                <c:pt idx="62">
                  <c:v>40787</c:v>
                </c:pt>
                <c:pt idx="63">
                  <c:v>40788</c:v>
                </c:pt>
                <c:pt idx="64">
                  <c:v>40789</c:v>
                </c:pt>
                <c:pt idx="65">
                  <c:v>40790</c:v>
                </c:pt>
                <c:pt idx="66">
                  <c:v>40791</c:v>
                </c:pt>
                <c:pt idx="67">
                  <c:v>40792</c:v>
                </c:pt>
                <c:pt idx="68">
                  <c:v>40793</c:v>
                </c:pt>
                <c:pt idx="69">
                  <c:v>40794</c:v>
                </c:pt>
                <c:pt idx="70">
                  <c:v>40795</c:v>
                </c:pt>
                <c:pt idx="71">
                  <c:v>40796</c:v>
                </c:pt>
                <c:pt idx="72">
                  <c:v>40797</c:v>
                </c:pt>
                <c:pt idx="73">
                  <c:v>40798</c:v>
                </c:pt>
                <c:pt idx="74">
                  <c:v>40799</c:v>
                </c:pt>
                <c:pt idx="75">
                  <c:v>40800</c:v>
                </c:pt>
                <c:pt idx="76">
                  <c:v>40801</c:v>
                </c:pt>
                <c:pt idx="77">
                  <c:v>40802</c:v>
                </c:pt>
                <c:pt idx="78">
                  <c:v>40803</c:v>
                </c:pt>
                <c:pt idx="79">
                  <c:v>40804</c:v>
                </c:pt>
                <c:pt idx="80">
                  <c:v>40805</c:v>
                </c:pt>
                <c:pt idx="81">
                  <c:v>40806</c:v>
                </c:pt>
                <c:pt idx="82">
                  <c:v>40807</c:v>
                </c:pt>
                <c:pt idx="83">
                  <c:v>40808</c:v>
                </c:pt>
                <c:pt idx="84">
                  <c:v>40809</c:v>
                </c:pt>
                <c:pt idx="85">
                  <c:v>40810</c:v>
                </c:pt>
                <c:pt idx="86">
                  <c:v>40811</c:v>
                </c:pt>
                <c:pt idx="87">
                  <c:v>40812</c:v>
                </c:pt>
                <c:pt idx="88">
                  <c:v>40813</c:v>
                </c:pt>
                <c:pt idx="89">
                  <c:v>40814</c:v>
                </c:pt>
                <c:pt idx="90">
                  <c:v>40815</c:v>
                </c:pt>
                <c:pt idx="91">
                  <c:v>40816</c:v>
                </c:pt>
                <c:pt idx="92">
                  <c:v>40817</c:v>
                </c:pt>
                <c:pt idx="93">
                  <c:v>40818</c:v>
                </c:pt>
                <c:pt idx="94">
                  <c:v>40819</c:v>
                </c:pt>
                <c:pt idx="95">
                  <c:v>40820</c:v>
                </c:pt>
                <c:pt idx="96">
                  <c:v>40821</c:v>
                </c:pt>
                <c:pt idx="97">
                  <c:v>40822</c:v>
                </c:pt>
                <c:pt idx="98">
                  <c:v>40823</c:v>
                </c:pt>
                <c:pt idx="99">
                  <c:v>40824</c:v>
                </c:pt>
                <c:pt idx="100">
                  <c:v>40825</c:v>
                </c:pt>
                <c:pt idx="101">
                  <c:v>40826</c:v>
                </c:pt>
                <c:pt idx="102">
                  <c:v>40827</c:v>
                </c:pt>
                <c:pt idx="103">
                  <c:v>40828</c:v>
                </c:pt>
                <c:pt idx="104">
                  <c:v>40829</c:v>
                </c:pt>
                <c:pt idx="105">
                  <c:v>40830</c:v>
                </c:pt>
                <c:pt idx="106">
                  <c:v>40831</c:v>
                </c:pt>
                <c:pt idx="107">
                  <c:v>40832</c:v>
                </c:pt>
                <c:pt idx="108">
                  <c:v>40833</c:v>
                </c:pt>
                <c:pt idx="109">
                  <c:v>40834</c:v>
                </c:pt>
                <c:pt idx="110">
                  <c:v>40835</c:v>
                </c:pt>
                <c:pt idx="111">
                  <c:v>40836</c:v>
                </c:pt>
                <c:pt idx="112">
                  <c:v>40837</c:v>
                </c:pt>
                <c:pt idx="113">
                  <c:v>40838</c:v>
                </c:pt>
                <c:pt idx="114">
                  <c:v>40839</c:v>
                </c:pt>
                <c:pt idx="115">
                  <c:v>40840</c:v>
                </c:pt>
                <c:pt idx="116">
                  <c:v>40841</c:v>
                </c:pt>
                <c:pt idx="117">
                  <c:v>40842</c:v>
                </c:pt>
                <c:pt idx="118">
                  <c:v>40843</c:v>
                </c:pt>
              </c:numCache>
            </c:numRef>
          </c:xVal>
          <c:yVal>
            <c:numRef>
              <c:f>Plan1!$E$13:$E$131</c:f>
              <c:numCache>
                <c:formatCode>0.0</c:formatCode>
                <c:ptCount val="119"/>
                <c:pt idx="0">
                  <c:v>22.9</c:v>
                </c:pt>
                <c:pt idx="1">
                  <c:v>22.4</c:v>
                </c:pt>
                <c:pt idx="2">
                  <c:v>17.399999999999999</c:v>
                </c:pt>
                <c:pt idx="3">
                  <c:v>15.1</c:v>
                </c:pt>
                <c:pt idx="4">
                  <c:v>17.7</c:v>
                </c:pt>
                <c:pt idx="5">
                  <c:v>18.7</c:v>
                </c:pt>
                <c:pt idx="6">
                  <c:v>19.100000000000001</c:v>
                </c:pt>
                <c:pt idx="7">
                  <c:v>18.600000000000001</c:v>
                </c:pt>
                <c:pt idx="8">
                  <c:v>20.100000000000001</c:v>
                </c:pt>
                <c:pt idx="9">
                  <c:v>24</c:v>
                </c:pt>
                <c:pt idx="10">
                  <c:v>25.1</c:v>
                </c:pt>
                <c:pt idx="11">
                  <c:v>24.5</c:v>
                </c:pt>
                <c:pt idx="12">
                  <c:v>22.9</c:v>
                </c:pt>
                <c:pt idx="13">
                  <c:v>23</c:v>
                </c:pt>
                <c:pt idx="14">
                  <c:v>23.7</c:v>
                </c:pt>
                <c:pt idx="15">
                  <c:v>24.4</c:v>
                </c:pt>
                <c:pt idx="16">
                  <c:v>26.1</c:v>
                </c:pt>
                <c:pt idx="17">
                  <c:v>25.3</c:v>
                </c:pt>
                <c:pt idx="18">
                  <c:v>24.1</c:v>
                </c:pt>
                <c:pt idx="19">
                  <c:v>26.1</c:v>
                </c:pt>
                <c:pt idx="20">
                  <c:v>25.6</c:v>
                </c:pt>
                <c:pt idx="21">
                  <c:v>20.7</c:v>
                </c:pt>
                <c:pt idx="22">
                  <c:v>22</c:v>
                </c:pt>
                <c:pt idx="23">
                  <c:v>23.2</c:v>
                </c:pt>
                <c:pt idx="24">
                  <c:v>23.1</c:v>
                </c:pt>
                <c:pt idx="25">
                  <c:v>23.9</c:v>
                </c:pt>
                <c:pt idx="26">
                  <c:v>24</c:v>
                </c:pt>
                <c:pt idx="27">
                  <c:v>24.2</c:v>
                </c:pt>
                <c:pt idx="28">
                  <c:v>25.8</c:v>
                </c:pt>
                <c:pt idx="29">
                  <c:v>25.7</c:v>
                </c:pt>
                <c:pt idx="30">
                  <c:v>24.7</c:v>
                </c:pt>
                <c:pt idx="31">
                  <c:v>25.3</c:v>
                </c:pt>
                <c:pt idx="32">
                  <c:v>14.9</c:v>
                </c:pt>
                <c:pt idx="33">
                  <c:v>10.9</c:v>
                </c:pt>
                <c:pt idx="34">
                  <c:v>12.3</c:v>
                </c:pt>
                <c:pt idx="35">
                  <c:v>17.899999999999999</c:v>
                </c:pt>
                <c:pt idx="36">
                  <c:v>24.3</c:v>
                </c:pt>
                <c:pt idx="37">
                  <c:v>27.6</c:v>
                </c:pt>
                <c:pt idx="38">
                  <c:v>27.9</c:v>
                </c:pt>
                <c:pt idx="39">
                  <c:v>25</c:v>
                </c:pt>
                <c:pt idx="40">
                  <c:v>24.4</c:v>
                </c:pt>
                <c:pt idx="41">
                  <c:v>23.5</c:v>
                </c:pt>
                <c:pt idx="42">
                  <c:v>26</c:v>
                </c:pt>
                <c:pt idx="43">
                  <c:v>28.1</c:v>
                </c:pt>
                <c:pt idx="44">
                  <c:v>27.7</c:v>
                </c:pt>
                <c:pt idx="45">
                  <c:v>25.9</c:v>
                </c:pt>
                <c:pt idx="46">
                  <c:v>26.2</c:v>
                </c:pt>
                <c:pt idx="47">
                  <c:v>26.5</c:v>
                </c:pt>
                <c:pt idx="48">
                  <c:v>27.2</c:v>
                </c:pt>
                <c:pt idx="49">
                  <c:v>28.4</c:v>
                </c:pt>
                <c:pt idx="50">
                  <c:v>16.399999999999999</c:v>
                </c:pt>
                <c:pt idx="51">
                  <c:v>14.3</c:v>
                </c:pt>
                <c:pt idx="52">
                  <c:v>18.8</c:v>
                </c:pt>
                <c:pt idx="53">
                  <c:v>19.7</c:v>
                </c:pt>
                <c:pt idx="54">
                  <c:v>22.6</c:v>
                </c:pt>
                <c:pt idx="55">
                  <c:v>26.8</c:v>
                </c:pt>
                <c:pt idx="56">
                  <c:v>27</c:v>
                </c:pt>
                <c:pt idx="57">
                  <c:v>28.2</c:v>
                </c:pt>
                <c:pt idx="58">
                  <c:v>29.2</c:v>
                </c:pt>
                <c:pt idx="59">
                  <c:v>30.4</c:v>
                </c:pt>
                <c:pt idx="60">
                  <c:v>30.4</c:v>
                </c:pt>
                <c:pt idx="61">
                  <c:v>22.8</c:v>
                </c:pt>
                <c:pt idx="62">
                  <c:v>20</c:v>
                </c:pt>
                <c:pt idx="63">
                  <c:v>20</c:v>
                </c:pt>
                <c:pt idx="64">
                  <c:v>22.3</c:v>
                </c:pt>
                <c:pt idx="65">
                  <c:v>28</c:v>
                </c:pt>
                <c:pt idx="66">
                  <c:v>28.9</c:v>
                </c:pt>
                <c:pt idx="67">
                  <c:v>29.4</c:v>
                </c:pt>
                <c:pt idx="68">
                  <c:v>28.2</c:v>
                </c:pt>
                <c:pt idx="69">
                  <c:v>28.7</c:v>
                </c:pt>
                <c:pt idx="70">
                  <c:v>22.6</c:v>
                </c:pt>
                <c:pt idx="71">
                  <c:v>23.1</c:v>
                </c:pt>
                <c:pt idx="72">
                  <c:v>24.2</c:v>
                </c:pt>
                <c:pt idx="73">
                  <c:v>24.3</c:v>
                </c:pt>
                <c:pt idx="74">
                  <c:v>26.1</c:v>
                </c:pt>
                <c:pt idx="75">
                  <c:v>25.3</c:v>
                </c:pt>
                <c:pt idx="76">
                  <c:v>25</c:v>
                </c:pt>
                <c:pt idx="77">
                  <c:v>26</c:v>
                </c:pt>
                <c:pt idx="78">
                  <c:v>26.5</c:v>
                </c:pt>
                <c:pt idx="79">
                  <c:v>26.6</c:v>
                </c:pt>
                <c:pt idx="80">
                  <c:v>26.6</c:v>
                </c:pt>
                <c:pt idx="81">
                  <c:v>27.4</c:v>
                </c:pt>
                <c:pt idx="82">
                  <c:v>26.2</c:v>
                </c:pt>
                <c:pt idx="83">
                  <c:v>28.7</c:v>
                </c:pt>
                <c:pt idx="84">
                  <c:v>25.3</c:v>
                </c:pt>
                <c:pt idx="85">
                  <c:v>22.5</c:v>
                </c:pt>
                <c:pt idx="86">
                  <c:v>22.9</c:v>
                </c:pt>
                <c:pt idx="87">
                  <c:v>24.9</c:v>
                </c:pt>
                <c:pt idx="88">
                  <c:v>27.9</c:v>
                </c:pt>
                <c:pt idx="89">
                  <c:v>29.2</c:v>
                </c:pt>
                <c:pt idx="90">
                  <c:v>30.6</c:v>
                </c:pt>
                <c:pt idx="91">
                  <c:v>30.8</c:v>
                </c:pt>
                <c:pt idx="92" formatCode="0.00">
                  <c:v>27.7</c:v>
                </c:pt>
                <c:pt idx="93" formatCode="0.00">
                  <c:v>22.7</c:v>
                </c:pt>
                <c:pt idx="94" formatCode="0.00">
                  <c:v>25</c:v>
                </c:pt>
                <c:pt idx="95" formatCode="0.00">
                  <c:v>27.1</c:v>
                </c:pt>
                <c:pt idx="96" formatCode="0.00">
                  <c:v>25.1</c:v>
                </c:pt>
                <c:pt idx="97" formatCode="0.00">
                  <c:v>26.8</c:v>
                </c:pt>
                <c:pt idx="98" formatCode="0.00">
                  <c:v>28.1</c:v>
                </c:pt>
                <c:pt idx="99" formatCode="0.00">
                  <c:v>29.3</c:v>
                </c:pt>
                <c:pt idx="100" formatCode="0.00">
                  <c:v>26</c:v>
                </c:pt>
                <c:pt idx="101" formatCode="0.00">
                  <c:v>25.2</c:v>
                </c:pt>
                <c:pt idx="102" formatCode="0.00">
                  <c:v>27.7</c:v>
                </c:pt>
                <c:pt idx="103" formatCode="0.00">
                  <c:v>27.9</c:v>
                </c:pt>
                <c:pt idx="104" formatCode="0.00">
                  <c:v>27</c:v>
                </c:pt>
                <c:pt idx="105" formatCode="0.00">
                  <c:v>25.7</c:v>
                </c:pt>
                <c:pt idx="106" formatCode="0.00">
                  <c:v>24.5</c:v>
                </c:pt>
                <c:pt idx="107" formatCode="0.00">
                  <c:v>25.1</c:v>
                </c:pt>
                <c:pt idx="108" formatCode="0.00">
                  <c:v>25.2</c:v>
                </c:pt>
                <c:pt idx="109" formatCode="0.00">
                  <c:v>24</c:v>
                </c:pt>
                <c:pt idx="110" formatCode="0.00">
                  <c:v>24.2</c:v>
                </c:pt>
                <c:pt idx="111" formatCode="0.00">
                  <c:v>24.6</c:v>
                </c:pt>
                <c:pt idx="112" formatCode="0.00">
                  <c:v>25.1</c:v>
                </c:pt>
                <c:pt idx="113" formatCode="0.00">
                  <c:v>23.4</c:v>
                </c:pt>
                <c:pt idx="114" formatCode="0.00">
                  <c:v>23.4</c:v>
                </c:pt>
                <c:pt idx="115" formatCode="0.00">
                  <c:v>26.7</c:v>
                </c:pt>
                <c:pt idx="116" formatCode="0.00">
                  <c:v>24.8</c:v>
                </c:pt>
                <c:pt idx="117" formatCode="0.00">
                  <c:v>24.2</c:v>
                </c:pt>
                <c:pt idx="118" formatCode="0.00">
                  <c:v>26.5</c:v>
                </c:pt>
              </c:numCache>
            </c:numRef>
          </c:yVal>
          <c:smooth val="1"/>
        </c:ser>
        <c:ser>
          <c:idx val="1"/>
          <c:order val="1"/>
          <c:tx>
            <c:v>UR (%)</c:v>
          </c:tx>
          <c:spPr>
            <a:ln w="19050" cap="rnd">
              <a:solidFill>
                <a:sysClr val="windowText" lastClr="000000"/>
              </a:solidFill>
              <a:prstDash val="sysDot"/>
              <a:round/>
            </a:ln>
          </c:spPr>
          <c:marker>
            <c:symbol val="square"/>
            <c:size val="5"/>
            <c:spPr>
              <a:solidFill>
                <a:schemeClr val="tx1"/>
              </a:solidFill>
              <a:ln w="19050">
                <a:solidFill>
                  <a:schemeClr val="tx1"/>
                </a:solidFill>
                <a:prstDash val="solid"/>
              </a:ln>
            </c:spPr>
          </c:marker>
          <c:xVal>
            <c:numRef>
              <c:f>Plan1!$D$13:$D$131</c:f>
              <c:numCache>
                <c:formatCode>m/d/yyyy</c:formatCode>
                <c:ptCount val="119"/>
                <c:pt idx="0">
                  <c:v>40725</c:v>
                </c:pt>
                <c:pt idx="1">
                  <c:v>40726</c:v>
                </c:pt>
                <c:pt idx="2">
                  <c:v>40727</c:v>
                </c:pt>
                <c:pt idx="3">
                  <c:v>40728</c:v>
                </c:pt>
                <c:pt idx="4">
                  <c:v>40729</c:v>
                </c:pt>
                <c:pt idx="5">
                  <c:v>40730</c:v>
                </c:pt>
                <c:pt idx="6">
                  <c:v>40731</c:v>
                </c:pt>
                <c:pt idx="7">
                  <c:v>40732</c:v>
                </c:pt>
                <c:pt idx="8">
                  <c:v>40733</c:v>
                </c:pt>
                <c:pt idx="9">
                  <c:v>40734</c:v>
                </c:pt>
                <c:pt idx="10">
                  <c:v>40735</c:v>
                </c:pt>
                <c:pt idx="11">
                  <c:v>40736</c:v>
                </c:pt>
                <c:pt idx="12">
                  <c:v>40737</c:v>
                </c:pt>
                <c:pt idx="13">
                  <c:v>40738</c:v>
                </c:pt>
                <c:pt idx="14">
                  <c:v>40739</c:v>
                </c:pt>
                <c:pt idx="15">
                  <c:v>40740</c:v>
                </c:pt>
                <c:pt idx="16">
                  <c:v>40741</c:v>
                </c:pt>
                <c:pt idx="17">
                  <c:v>40742</c:v>
                </c:pt>
                <c:pt idx="18">
                  <c:v>40743</c:v>
                </c:pt>
                <c:pt idx="19">
                  <c:v>40744</c:v>
                </c:pt>
                <c:pt idx="20">
                  <c:v>40745</c:v>
                </c:pt>
                <c:pt idx="21">
                  <c:v>40746</c:v>
                </c:pt>
                <c:pt idx="22">
                  <c:v>40747</c:v>
                </c:pt>
                <c:pt idx="23">
                  <c:v>40748</c:v>
                </c:pt>
                <c:pt idx="24">
                  <c:v>40749</c:v>
                </c:pt>
                <c:pt idx="25">
                  <c:v>40750</c:v>
                </c:pt>
                <c:pt idx="26">
                  <c:v>40751</c:v>
                </c:pt>
                <c:pt idx="27">
                  <c:v>40752</c:v>
                </c:pt>
                <c:pt idx="28">
                  <c:v>40753</c:v>
                </c:pt>
                <c:pt idx="29">
                  <c:v>40754</c:v>
                </c:pt>
                <c:pt idx="30">
                  <c:v>40755</c:v>
                </c:pt>
                <c:pt idx="31">
                  <c:v>40756</c:v>
                </c:pt>
                <c:pt idx="32">
                  <c:v>40757</c:v>
                </c:pt>
                <c:pt idx="33">
                  <c:v>40758</c:v>
                </c:pt>
                <c:pt idx="34">
                  <c:v>40759</c:v>
                </c:pt>
                <c:pt idx="35">
                  <c:v>40760</c:v>
                </c:pt>
                <c:pt idx="36">
                  <c:v>40761</c:v>
                </c:pt>
                <c:pt idx="37">
                  <c:v>40762</c:v>
                </c:pt>
                <c:pt idx="38">
                  <c:v>40763</c:v>
                </c:pt>
                <c:pt idx="39">
                  <c:v>40764</c:v>
                </c:pt>
                <c:pt idx="40">
                  <c:v>40765</c:v>
                </c:pt>
                <c:pt idx="41">
                  <c:v>40766</c:v>
                </c:pt>
                <c:pt idx="42">
                  <c:v>40767</c:v>
                </c:pt>
                <c:pt idx="43">
                  <c:v>40768</c:v>
                </c:pt>
                <c:pt idx="44">
                  <c:v>40769</c:v>
                </c:pt>
                <c:pt idx="45">
                  <c:v>40770</c:v>
                </c:pt>
                <c:pt idx="46">
                  <c:v>40771</c:v>
                </c:pt>
                <c:pt idx="47">
                  <c:v>40772</c:v>
                </c:pt>
                <c:pt idx="48">
                  <c:v>40773</c:v>
                </c:pt>
                <c:pt idx="49">
                  <c:v>40774</c:v>
                </c:pt>
                <c:pt idx="50">
                  <c:v>40775</c:v>
                </c:pt>
                <c:pt idx="51">
                  <c:v>40776</c:v>
                </c:pt>
                <c:pt idx="52">
                  <c:v>40777</c:v>
                </c:pt>
                <c:pt idx="53">
                  <c:v>40778</c:v>
                </c:pt>
                <c:pt idx="54">
                  <c:v>40779</c:v>
                </c:pt>
                <c:pt idx="55">
                  <c:v>40780</c:v>
                </c:pt>
                <c:pt idx="56">
                  <c:v>40781</c:v>
                </c:pt>
                <c:pt idx="57">
                  <c:v>40782</c:v>
                </c:pt>
                <c:pt idx="58">
                  <c:v>40783</c:v>
                </c:pt>
                <c:pt idx="59">
                  <c:v>40784</c:v>
                </c:pt>
                <c:pt idx="60">
                  <c:v>40785</c:v>
                </c:pt>
                <c:pt idx="61">
                  <c:v>40786</c:v>
                </c:pt>
                <c:pt idx="62">
                  <c:v>40787</c:v>
                </c:pt>
                <c:pt idx="63">
                  <c:v>40788</c:v>
                </c:pt>
                <c:pt idx="64">
                  <c:v>40789</c:v>
                </c:pt>
                <c:pt idx="65">
                  <c:v>40790</c:v>
                </c:pt>
                <c:pt idx="66">
                  <c:v>40791</c:v>
                </c:pt>
                <c:pt idx="67">
                  <c:v>40792</c:v>
                </c:pt>
                <c:pt idx="68">
                  <c:v>40793</c:v>
                </c:pt>
                <c:pt idx="69">
                  <c:v>40794</c:v>
                </c:pt>
                <c:pt idx="70">
                  <c:v>40795</c:v>
                </c:pt>
                <c:pt idx="71">
                  <c:v>40796</c:v>
                </c:pt>
                <c:pt idx="72">
                  <c:v>40797</c:v>
                </c:pt>
                <c:pt idx="73">
                  <c:v>40798</c:v>
                </c:pt>
                <c:pt idx="74">
                  <c:v>40799</c:v>
                </c:pt>
                <c:pt idx="75">
                  <c:v>40800</c:v>
                </c:pt>
                <c:pt idx="76">
                  <c:v>40801</c:v>
                </c:pt>
                <c:pt idx="77">
                  <c:v>40802</c:v>
                </c:pt>
                <c:pt idx="78">
                  <c:v>40803</c:v>
                </c:pt>
                <c:pt idx="79">
                  <c:v>40804</c:v>
                </c:pt>
                <c:pt idx="80">
                  <c:v>40805</c:v>
                </c:pt>
                <c:pt idx="81">
                  <c:v>40806</c:v>
                </c:pt>
                <c:pt idx="82">
                  <c:v>40807</c:v>
                </c:pt>
                <c:pt idx="83">
                  <c:v>40808</c:v>
                </c:pt>
                <c:pt idx="84">
                  <c:v>40809</c:v>
                </c:pt>
                <c:pt idx="85">
                  <c:v>40810</c:v>
                </c:pt>
                <c:pt idx="86">
                  <c:v>40811</c:v>
                </c:pt>
                <c:pt idx="87">
                  <c:v>40812</c:v>
                </c:pt>
                <c:pt idx="88">
                  <c:v>40813</c:v>
                </c:pt>
                <c:pt idx="89">
                  <c:v>40814</c:v>
                </c:pt>
                <c:pt idx="90">
                  <c:v>40815</c:v>
                </c:pt>
                <c:pt idx="91">
                  <c:v>40816</c:v>
                </c:pt>
                <c:pt idx="92">
                  <c:v>40817</c:v>
                </c:pt>
                <c:pt idx="93">
                  <c:v>40818</c:v>
                </c:pt>
                <c:pt idx="94">
                  <c:v>40819</c:v>
                </c:pt>
                <c:pt idx="95">
                  <c:v>40820</c:v>
                </c:pt>
                <c:pt idx="96">
                  <c:v>40821</c:v>
                </c:pt>
                <c:pt idx="97">
                  <c:v>40822</c:v>
                </c:pt>
                <c:pt idx="98">
                  <c:v>40823</c:v>
                </c:pt>
                <c:pt idx="99">
                  <c:v>40824</c:v>
                </c:pt>
                <c:pt idx="100">
                  <c:v>40825</c:v>
                </c:pt>
                <c:pt idx="101">
                  <c:v>40826</c:v>
                </c:pt>
                <c:pt idx="102">
                  <c:v>40827</c:v>
                </c:pt>
                <c:pt idx="103">
                  <c:v>40828</c:v>
                </c:pt>
                <c:pt idx="104">
                  <c:v>40829</c:v>
                </c:pt>
                <c:pt idx="105">
                  <c:v>40830</c:v>
                </c:pt>
                <c:pt idx="106">
                  <c:v>40831</c:v>
                </c:pt>
                <c:pt idx="107">
                  <c:v>40832</c:v>
                </c:pt>
                <c:pt idx="108">
                  <c:v>40833</c:v>
                </c:pt>
                <c:pt idx="109">
                  <c:v>40834</c:v>
                </c:pt>
                <c:pt idx="110">
                  <c:v>40835</c:v>
                </c:pt>
                <c:pt idx="111">
                  <c:v>40836</c:v>
                </c:pt>
                <c:pt idx="112">
                  <c:v>40837</c:v>
                </c:pt>
                <c:pt idx="113">
                  <c:v>40838</c:v>
                </c:pt>
                <c:pt idx="114">
                  <c:v>40839</c:v>
                </c:pt>
                <c:pt idx="115">
                  <c:v>40840</c:v>
                </c:pt>
                <c:pt idx="116">
                  <c:v>40841</c:v>
                </c:pt>
                <c:pt idx="117">
                  <c:v>40842</c:v>
                </c:pt>
                <c:pt idx="118">
                  <c:v>40843</c:v>
                </c:pt>
              </c:numCache>
            </c:numRef>
          </c:xVal>
          <c:yVal>
            <c:numRef>
              <c:f>Plan1!$F$13:$F$131</c:f>
              <c:numCache>
                <c:formatCode>0.0</c:formatCode>
                <c:ptCount val="119"/>
                <c:pt idx="0">
                  <c:v>68.8</c:v>
                </c:pt>
                <c:pt idx="1">
                  <c:v>71.3</c:v>
                </c:pt>
                <c:pt idx="2">
                  <c:v>88.5</c:v>
                </c:pt>
                <c:pt idx="3">
                  <c:v>77.3</c:v>
                </c:pt>
                <c:pt idx="4">
                  <c:v>70.5</c:v>
                </c:pt>
                <c:pt idx="5">
                  <c:v>68.599999999999994</c:v>
                </c:pt>
                <c:pt idx="6">
                  <c:v>66.900000000000006</c:v>
                </c:pt>
                <c:pt idx="7">
                  <c:v>63.2</c:v>
                </c:pt>
                <c:pt idx="8">
                  <c:v>56.9</c:v>
                </c:pt>
                <c:pt idx="9">
                  <c:v>55.2</c:v>
                </c:pt>
                <c:pt idx="10">
                  <c:v>57.6</c:v>
                </c:pt>
                <c:pt idx="11">
                  <c:v>54.8</c:v>
                </c:pt>
                <c:pt idx="12">
                  <c:v>53.7</c:v>
                </c:pt>
                <c:pt idx="13">
                  <c:v>47</c:v>
                </c:pt>
                <c:pt idx="14">
                  <c:v>41.6</c:v>
                </c:pt>
                <c:pt idx="15">
                  <c:v>50.9</c:v>
                </c:pt>
                <c:pt idx="16">
                  <c:v>53.4</c:v>
                </c:pt>
                <c:pt idx="17">
                  <c:v>59.5</c:v>
                </c:pt>
                <c:pt idx="18">
                  <c:v>61.3</c:v>
                </c:pt>
                <c:pt idx="19">
                  <c:v>56.2</c:v>
                </c:pt>
                <c:pt idx="20">
                  <c:v>55.9</c:v>
                </c:pt>
                <c:pt idx="21">
                  <c:v>85.9</c:v>
                </c:pt>
                <c:pt idx="22">
                  <c:v>73.3</c:v>
                </c:pt>
                <c:pt idx="23">
                  <c:v>60.4</c:v>
                </c:pt>
                <c:pt idx="24">
                  <c:v>58.1</c:v>
                </c:pt>
                <c:pt idx="25">
                  <c:v>57.3</c:v>
                </c:pt>
                <c:pt idx="26">
                  <c:v>51.8</c:v>
                </c:pt>
                <c:pt idx="27">
                  <c:v>52.3</c:v>
                </c:pt>
                <c:pt idx="28">
                  <c:v>49.2</c:v>
                </c:pt>
                <c:pt idx="29">
                  <c:v>49.3</c:v>
                </c:pt>
                <c:pt idx="30">
                  <c:v>57.7</c:v>
                </c:pt>
                <c:pt idx="31">
                  <c:v>56.6</c:v>
                </c:pt>
                <c:pt idx="32">
                  <c:v>85.9</c:v>
                </c:pt>
                <c:pt idx="33">
                  <c:v>87.6</c:v>
                </c:pt>
                <c:pt idx="34">
                  <c:v>61.1</c:v>
                </c:pt>
                <c:pt idx="35">
                  <c:v>46.9</c:v>
                </c:pt>
                <c:pt idx="36">
                  <c:v>49.2</c:v>
                </c:pt>
                <c:pt idx="37">
                  <c:v>46.5</c:v>
                </c:pt>
                <c:pt idx="38">
                  <c:v>43.5</c:v>
                </c:pt>
                <c:pt idx="39">
                  <c:v>54.1</c:v>
                </c:pt>
                <c:pt idx="40">
                  <c:v>64.599999999999994</c:v>
                </c:pt>
                <c:pt idx="41">
                  <c:v>55.9</c:v>
                </c:pt>
                <c:pt idx="42">
                  <c:v>43.4</c:v>
                </c:pt>
                <c:pt idx="43">
                  <c:v>35.200000000000003</c:v>
                </c:pt>
                <c:pt idx="44">
                  <c:v>37.1</c:v>
                </c:pt>
                <c:pt idx="45">
                  <c:v>42.1</c:v>
                </c:pt>
                <c:pt idx="46">
                  <c:v>37</c:v>
                </c:pt>
                <c:pt idx="47">
                  <c:v>40.700000000000003</c:v>
                </c:pt>
                <c:pt idx="48">
                  <c:v>40.200000000000003</c:v>
                </c:pt>
                <c:pt idx="49">
                  <c:v>40.700000000000003</c:v>
                </c:pt>
                <c:pt idx="50">
                  <c:v>84.3</c:v>
                </c:pt>
                <c:pt idx="51">
                  <c:v>77.5</c:v>
                </c:pt>
                <c:pt idx="52">
                  <c:v>72.7</c:v>
                </c:pt>
                <c:pt idx="53">
                  <c:v>70.099999999999994</c:v>
                </c:pt>
                <c:pt idx="54">
                  <c:v>62.4</c:v>
                </c:pt>
                <c:pt idx="55">
                  <c:v>47.9</c:v>
                </c:pt>
                <c:pt idx="56">
                  <c:v>42.4</c:v>
                </c:pt>
                <c:pt idx="57">
                  <c:v>38.799999999999997</c:v>
                </c:pt>
                <c:pt idx="58">
                  <c:v>36.6</c:v>
                </c:pt>
                <c:pt idx="59">
                  <c:v>35.200000000000003</c:v>
                </c:pt>
                <c:pt idx="60">
                  <c:v>38.4</c:v>
                </c:pt>
                <c:pt idx="61">
                  <c:v>80.599999999999994</c:v>
                </c:pt>
                <c:pt idx="62">
                  <c:v>56.6</c:v>
                </c:pt>
                <c:pt idx="63">
                  <c:v>47.4</c:v>
                </c:pt>
                <c:pt idx="64">
                  <c:v>48</c:v>
                </c:pt>
                <c:pt idx="65">
                  <c:v>31.7</c:v>
                </c:pt>
                <c:pt idx="66">
                  <c:v>25.9</c:v>
                </c:pt>
                <c:pt idx="67">
                  <c:v>25.8</c:v>
                </c:pt>
                <c:pt idx="68">
                  <c:v>33.4</c:v>
                </c:pt>
                <c:pt idx="69">
                  <c:v>28.9</c:v>
                </c:pt>
                <c:pt idx="70">
                  <c:v>66.3</c:v>
                </c:pt>
                <c:pt idx="71">
                  <c:v>72.599999999999994</c:v>
                </c:pt>
                <c:pt idx="72">
                  <c:v>70.7</c:v>
                </c:pt>
                <c:pt idx="73">
                  <c:v>53.8</c:v>
                </c:pt>
                <c:pt idx="74">
                  <c:v>43</c:v>
                </c:pt>
                <c:pt idx="75">
                  <c:v>45.4</c:v>
                </c:pt>
                <c:pt idx="76">
                  <c:v>58</c:v>
                </c:pt>
                <c:pt idx="77">
                  <c:v>58.4</c:v>
                </c:pt>
                <c:pt idx="78">
                  <c:v>45.1</c:v>
                </c:pt>
                <c:pt idx="79">
                  <c:v>43.3</c:v>
                </c:pt>
                <c:pt idx="80">
                  <c:v>39.9</c:v>
                </c:pt>
                <c:pt idx="81">
                  <c:v>38.6</c:v>
                </c:pt>
                <c:pt idx="82">
                  <c:v>54.3</c:v>
                </c:pt>
                <c:pt idx="83">
                  <c:v>41.3</c:v>
                </c:pt>
                <c:pt idx="84">
                  <c:v>60.3</c:v>
                </c:pt>
                <c:pt idx="85">
                  <c:v>71.400000000000006</c:v>
                </c:pt>
                <c:pt idx="86">
                  <c:v>50.8</c:v>
                </c:pt>
                <c:pt idx="87">
                  <c:v>55</c:v>
                </c:pt>
                <c:pt idx="88">
                  <c:v>51.1</c:v>
                </c:pt>
                <c:pt idx="89">
                  <c:v>40.299999999999997</c:v>
                </c:pt>
                <c:pt idx="90">
                  <c:v>34.799999999999997</c:v>
                </c:pt>
                <c:pt idx="91">
                  <c:v>35.299999999999997</c:v>
                </c:pt>
                <c:pt idx="92" formatCode="0.00">
                  <c:v>51.2</c:v>
                </c:pt>
                <c:pt idx="93" formatCode="0.00">
                  <c:v>86.1</c:v>
                </c:pt>
                <c:pt idx="94" formatCode="0.00">
                  <c:v>64.2</c:v>
                </c:pt>
                <c:pt idx="95" formatCode="0.00">
                  <c:v>50.2</c:v>
                </c:pt>
                <c:pt idx="96" formatCode="0.00">
                  <c:v>67.099999999999994</c:v>
                </c:pt>
                <c:pt idx="97" formatCode="0.00">
                  <c:v>64.900000000000006</c:v>
                </c:pt>
                <c:pt idx="98" formatCode="0.00">
                  <c:v>56.8</c:v>
                </c:pt>
                <c:pt idx="99" formatCode="0.00">
                  <c:v>55.4</c:v>
                </c:pt>
                <c:pt idx="100" formatCode="0.00">
                  <c:v>76.8</c:v>
                </c:pt>
                <c:pt idx="101" formatCode="0.00">
                  <c:v>80</c:v>
                </c:pt>
                <c:pt idx="102" formatCode="0.00">
                  <c:v>70.400000000000006</c:v>
                </c:pt>
                <c:pt idx="103" formatCode="0.00">
                  <c:v>69.599999999999994</c:v>
                </c:pt>
                <c:pt idx="104" formatCode="0.00">
                  <c:v>79.099999999999994</c:v>
                </c:pt>
                <c:pt idx="105" formatCode="0.00">
                  <c:v>87.4</c:v>
                </c:pt>
                <c:pt idx="106" formatCode="0.00">
                  <c:v>87.5</c:v>
                </c:pt>
                <c:pt idx="107" formatCode="0.00">
                  <c:v>83.4</c:v>
                </c:pt>
                <c:pt idx="108" formatCode="0.00">
                  <c:v>73.8</c:v>
                </c:pt>
                <c:pt idx="109" formatCode="0.00">
                  <c:v>64</c:v>
                </c:pt>
                <c:pt idx="110" formatCode="0.00">
                  <c:v>60.4</c:v>
                </c:pt>
                <c:pt idx="111" formatCode="0.00">
                  <c:v>58.3</c:v>
                </c:pt>
                <c:pt idx="112" formatCode="0.00">
                  <c:v>51.5</c:v>
                </c:pt>
                <c:pt idx="113" formatCode="0.00">
                  <c:v>69.2</c:v>
                </c:pt>
                <c:pt idx="114" formatCode="0.00">
                  <c:v>78.5</c:v>
                </c:pt>
                <c:pt idx="115" formatCode="0.00">
                  <c:v>65.900000000000006</c:v>
                </c:pt>
                <c:pt idx="116" formatCode="0.00">
                  <c:v>80.8</c:v>
                </c:pt>
                <c:pt idx="117" formatCode="0.00">
                  <c:v>84.6</c:v>
                </c:pt>
                <c:pt idx="118" formatCode="0.00">
                  <c:v>68.900000000000006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410432"/>
        <c:axId val="29412352"/>
      </c:scatterChart>
      <c:dateAx>
        <c:axId val="29410432"/>
        <c:scaling>
          <c:orientation val="minMax"/>
          <c:max val="40854"/>
        </c:scaling>
        <c:delete val="0"/>
        <c:axPos val="b"/>
        <c:numFmt formatCode="dd\-mm\-yy" sourceLinked="0"/>
        <c:majorTickMark val="out"/>
        <c:minorTickMark val="none"/>
        <c:tickLblPos val="nextTo"/>
        <c:txPr>
          <a:bodyPr rot="-2700000" vert="horz"/>
          <a:lstStyle/>
          <a:p>
            <a:pPr>
              <a:defRPr sz="1200" b="0"/>
            </a:pPr>
            <a:endParaRPr lang="en-US"/>
          </a:p>
        </c:txPr>
        <c:crossAx val="29412352"/>
        <c:crosses val="autoZero"/>
        <c:auto val="1"/>
        <c:lblOffset val="100"/>
        <c:baseTimeUnit val="days"/>
        <c:majorUnit val="15"/>
        <c:majorTimeUnit val="days"/>
      </c:dateAx>
      <c:valAx>
        <c:axId val="29412352"/>
        <c:scaling>
          <c:orientation val="minMax"/>
          <c:max val="100"/>
          <c:min val="0"/>
        </c:scaling>
        <c:delete val="0"/>
        <c:axPos val="l"/>
        <c:majorGridlines>
          <c:spPr>
            <a:ln>
              <a:solidFill>
                <a:schemeClr val="bg1"/>
              </a:solidFill>
            </a:ln>
          </c:spPr>
        </c:majorGridlines>
        <c:numFmt formatCode="0.0" sourceLinked="0"/>
        <c:majorTickMark val="out"/>
        <c:minorTickMark val="none"/>
        <c:tickLblPos val="nextTo"/>
        <c:txPr>
          <a:bodyPr/>
          <a:lstStyle/>
          <a:p>
            <a:pPr>
              <a:defRPr sz="1200" b="0"/>
            </a:pPr>
            <a:endParaRPr lang="en-US"/>
          </a:p>
        </c:txPr>
        <c:crossAx val="29410432"/>
        <c:crosses val="autoZero"/>
        <c:crossBetween val="between"/>
        <c:majorUnit val="10"/>
        <c:minorUnit val="2"/>
      </c:valAx>
      <c:spPr>
        <a:ln w="0" cap="rnd">
          <a:noFill/>
        </a:ln>
      </c:spPr>
    </c:plotArea>
    <c:legend>
      <c:legendPos val="tr"/>
      <c:layout>
        <c:manualLayout>
          <c:xMode val="edge"/>
          <c:yMode val="edge"/>
          <c:x val="0.14045804758276184"/>
          <c:y val="9.3681867505077759E-2"/>
          <c:w val="0.76947990372171227"/>
          <c:h val="0.12380772191461933"/>
        </c:manualLayout>
      </c:layout>
      <c:overlay val="0"/>
      <c:txPr>
        <a:bodyPr/>
        <a:lstStyle/>
        <a:p>
          <a:pPr>
            <a:defRPr sz="1200"/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800" b="1">
          <a:latin typeface="Arial" pitchFamily="34" charset="0"/>
          <a:cs typeface="Arial" pitchFamily="34" charset="0"/>
        </a:defRPr>
      </a:pPr>
      <a:endParaRPr lang="en-US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0.40179</cdr:x>
      <cdr:y>0.91422</cdr:y>
    </cdr:from>
    <cdr:to>
      <cdr:x>0.59394</cdr:x>
      <cdr:y>0.98748</cdr:y>
    </cdr:to>
    <cdr:sp macro="" textlink="">
      <cdr:nvSpPr>
        <cdr:cNvPr id="2" name="CaixaDeTexto 1"/>
        <cdr:cNvSpPr txBox="1"/>
      </cdr:nvSpPr>
      <cdr:spPr>
        <a:xfrm xmlns:a="http://schemas.openxmlformats.org/drawingml/2006/main">
          <a:off x="2254898" y="3386230"/>
          <a:ext cx="1078370" cy="27137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r>
            <a:rPr lang="en-US" sz="1200">
              <a:latin typeface="Arial" pitchFamily="34" charset="0"/>
              <a:cs typeface="Arial" pitchFamily="34" charset="0"/>
            </a:rPr>
            <a:t>Meses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T_TERUO</dc:creator>
  <cp:lastModifiedBy>T_TERUO</cp:lastModifiedBy>
  <cp:revision>3</cp:revision>
  <dcterms:created xsi:type="dcterms:W3CDTF">2013-05-19T20:51:00Z</dcterms:created>
  <dcterms:modified xsi:type="dcterms:W3CDTF">2013-05-19T21:58:00Z</dcterms:modified>
</cp:coreProperties>
</file>