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2C2" w:rsidRPr="000D101E" w:rsidRDefault="000A62C2" w:rsidP="000A62C2">
      <w:pPr>
        <w:spacing w:line="480" w:lineRule="auto"/>
        <w:jc w:val="center"/>
        <w:rPr>
          <w:sz w:val="24"/>
          <w:szCs w:val="24"/>
        </w:rPr>
      </w:pPr>
      <w:r w:rsidRPr="000D101E"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2990526" cy="2242868"/>
            <wp:effectExtent l="19050" t="0" r="324" b="0"/>
            <wp:docPr id="60" name="Imagem 4" descr="D:\Fotos profissional\Tese\DSCF3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Fotos profissional\Tese\DSCF3656.JPG"/>
                    <pic:cNvPicPr>
                      <a:picLocks noChangeAspect="1" noChangeArrowheads="1"/>
                    </pic:cNvPicPr>
                  </pic:nvPicPr>
                  <pic:blipFill>
                    <a:blip r:embed="rId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931" cy="2243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2C2" w:rsidRPr="000D101E" w:rsidRDefault="000A62C2" w:rsidP="000A62C2">
      <w:pPr>
        <w:spacing w:line="480" w:lineRule="auto"/>
        <w:jc w:val="both"/>
        <w:rPr>
          <w:sz w:val="24"/>
          <w:szCs w:val="24"/>
          <w:lang w:val="pt-BR"/>
        </w:rPr>
      </w:pPr>
      <w:r w:rsidRPr="000D101E">
        <w:rPr>
          <w:sz w:val="24"/>
          <w:szCs w:val="24"/>
          <w:lang w:val="pt-BR"/>
        </w:rPr>
        <w:t xml:space="preserve">Figura </w:t>
      </w:r>
      <w:r>
        <w:rPr>
          <w:sz w:val="24"/>
          <w:szCs w:val="24"/>
          <w:lang w:val="pt-BR"/>
        </w:rPr>
        <w:t>1</w:t>
      </w:r>
      <w:r w:rsidRPr="000D101E">
        <w:rPr>
          <w:sz w:val="24"/>
          <w:szCs w:val="24"/>
          <w:lang w:val="pt-BR"/>
        </w:rPr>
        <w:t>. Coletor vertical usado na determinação da uniformidade de distribuição volumétrica.</w:t>
      </w:r>
    </w:p>
    <w:p w:rsidR="00803AB1" w:rsidRDefault="00803AB1">
      <w:pPr>
        <w:rPr>
          <w:lang w:val="pt-BR"/>
        </w:rPr>
      </w:pPr>
    </w:p>
    <w:p w:rsidR="000A62C2" w:rsidRDefault="000A62C2">
      <w:pPr>
        <w:rPr>
          <w:lang w:val="pt-BR"/>
        </w:rPr>
      </w:pPr>
    </w:p>
    <w:p w:rsidR="000A62C2" w:rsidRPr="000D101E" w:rsidRDefault="000A62C2" w:rsidP="000A62C2">
      <w:pPr>
        <w:spacing w:line="480" w:lineRule="auto"/>
        <w:jc w:val="center"/>
        <w:rPr>
          <w:sz w:val="24"/>
          <w:szCs w:val="24"/>
        </w:rPr>
      </w:pPr>
      <w:r w:rsidRPr="000D101E"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5400040" cy="1848415"/>
            <wp:effectExtent l="1905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848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2C2" w:rsidRPr="000D101E" w:rsidRDefault="000A62C2" w:rsidP="000A62C2">
      <w:pPr>
        <w:spacing w:line="480" w:lineRule="auto"/>
        <w:jc w:val="both"/>
        <w:rPr>
          <w:sz w:val="24"/>
          <w:szCs w:val="24"/>
          <w:lang w:val="pt-BR"/>
        </w:rPr>
      </w:pPr>
      <w:r w:rsidRPr="000D101E">
        <w:rPr>
          <w:sz w:val="24"/>
          <w:szCs w:val="24"/>
          <w:lang w:val="pt-BR"/>
        </w:rPr>
        <w:t xml:space="preserve">Figura </w:t>
      </w:r>
      <w:r>
        <w:rPr>
          <w:sz w:val="24"/>
          <w:szCs w:val="24"/>
          <w:lang w:val="pt-BR"/>
        </w:rPr>
        <w:t>2</w:t>
      </w:r>
      <w:r w:rsidRPr="000D101E">
        <w:rPr>
          <w:sz w:val="24"/>
          <w:szCs w:val="24"/>
          <w:lang w:val="pt-BR"/>
        </w:rPr>
        <w:t>. Velocidade de distribuição vertical do ar a 0,5 m da saída do ventilador.</w:t>
      </w:r>
    </w:p>
    <w:p w:rsidR="000A62C2" w:rsidRDefault="000A62C2">
      <w:pPr>
        <w:rPr>
          <w:lang w:val="pt-BR"/>
        </w:rPr>
      </w:pPr>
    </w:p>
    <w:p w:rsidR="000A62C2" w:rsidRDefault="000A62C2">
      <w:pPr>
        <w:rPr>
          <w:lang w:val="pt-BR"/>
        </w:rPr>
      </w:pPr>
    </w:p>
    <w:p w:rsidR="000A62C2" w:rsidRPr="000D101E" w:rsidRDefault="000A62C2" w:rsidP="000A62C2">
      <w:pPr>
        <w:spacing w:line="480" w:lineRule="auto"/>
        <w:jc w:val="center"/>
        <w:rPr>
          <w:sz w:val="24"/>
          <w:szCs w:val="24"/>
        </w:rPr>
      </w:pPr>
      <w:r w:rsidRPr="000D101E"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3395312" cy="2203202"/>
            <wp:effectExtent l="19050" t="0" r="0" b="0"/>
            <wp:docPr id="63" name="Imagem 5" descr="D:\Fotos profissional\Tese\DSCN2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Fotos profissional\Tese\DSCN2444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312" cy="2203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2C2" w:rsidRPr="000D101E" w:rsidRDefault="000A62C2" w:rsidP="000A62C2">
      <w:pPr>
        <w:spacing w:line="480" w:lineRule="auto"/>
        <w:jc w:val="both"/>
        <w:rPr>
          <w:sz w:val="24"/>
          <w:szCs w:val="24"/>
          <w:lang w:val="pt-BR"/>
        </w:rPr>
      </w:pPr>
      <w:r w:rsidRPr="000D101E">
        <w:rPr>
          <w:sz w:val="24"/>
          <w:szCs w:val="24"/>
          <w:lang w:val="pt-BR"/>
        </w:rPr>
        <w:lastRenderedPageBreak/>
        <w:t xml:space="preserve">Figura </w:t>
      </w:r>
      <w:r>
        <w:rPr>
          <w:sz w:val="24"/>
          <w:szCs w:val="24"/>
          <w:lang w:val="pt-BR"/>
        </w:rPr>
        <w:t>3</w:t>
      </w:r>
      <w:r w:rsidRPr="000D101E">
        <w:rPr>
          <w:sz w:val="24"/>
          <w:szCs w:val="24"/>
          <w:lang w:val="pt-BR"/>
        </w:rPr>
        <w:t>. Dispositivo usado para medir a uniformidade de distribuição volumétrica vertical.</w:t>
      </w:r>
    </w:p>
    <w:p w:rsidR="000A62C2" w:rsidRDefault="000A62C2">
      <w:pPr>
        <w:rPr>
          <w:lang w:val="pt-BR"/>
        </w:rPr>
      </w:pPr>
    </w:p>
    <w:p w:rsidR="000A62C2" w:rsidRDefault="000A62C2">
      <w:pPr>
        <w:rPr>
          <w:lang w:val="pt-BR"/>
        </w:rPr>
      </w:pPr>
    </w:p>
    <w:p w:rsidR="000A62C2" w:rsidRPr="000D101E" w:rsidRDefault="000A62C2" w:rsidP="000A62C2">
      <w:pPr>
        <w:spacing w:line="480" w:lineRule="auto"/>
        <w:jc w:val="center"/>
        <w:rPr>
          <w:sz w:val="24"/>
          <w:szCs w:val="24"/>
        </w:rPr>
      </w:pPr>
      <w:r w:rsidRPr="000D101E">
        <w:rPr>
          <w:noProof/>
          <w:sz w:val="24"/>
          <w:szCs w:val="24"/>
          <w:lang w:val="pt-BR" w:eastAsia="pt-BR"/>
        </w:rPr>
        <w:drawing>
          <wp:inline distT="0" distB="0" distL="0" distR="0">
            <wp:extent cx="5400040" cy="1551161"/>
            <wp:effectExtent l="1905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551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2C2" w:rsidRPr="000D101E" w:rsidRDefault="000A62C2" w:rsidP="000A62C2">
      <w:pPr>
        <w:spacing w:line="480" w:lineRule="auto"/>
        <w:jc w:val="both"/>
        <w:rPr>
          <w:sz w:val="24"/>
          <w:szCs w:val="24"/>
          <w:lang w:val="pt-BR"/>
        </w:rPr>
      </w:pPr>
      <w:r w:rsidRPr="000D101E">
        <w:rPr>
          <w:sz w:val="24"/>
          <w:szCs w:val="24"/>
          <w:lang w:val="pt-BR"/>
        </w:rPr>
        <w:t xml:space="preserve">Figura </w:t>
      </w:r>
      <w:r>
        <w:rPr>
          <w:sz w:val="24"/>
          <w:szCs w:val="24"/>
          <w:lang w:val="pt-BR"/>
        </w:rPr>
        <w:t>4</w:t>
      </w:r>
      <w:r w:rsidRPr="000D101E">
        <w:rPr>
          <w:sz w:val="24"/>
          <w:szCs w:val="24"/>
          <w:lang w:val="pt-BR"/>
        </w:rPr>
        <w:t>. Uniformidade de distribuição volumétrica vertical.</w:t>
      </w:r>
    </w:p>
    <w:p w:rsidR="000A62C2" w:rsidRPr="000A62C2" w:rsidRDefault="000A62C2">
      <w:pPr>
        <w:rPr>
          <w:lang w:val="pt-BR"/>
        </w:rPr>
      </w:pPr>
    </w:p>
    <w:sectPr w:rsidR="000A62C2" w:rsidRPr="000A62C2" w:rsidSect="00803A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62C2"/>
    <w:rsid w:val="000A62C2"/>
    <w:rsid w:val="00803A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2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A62C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62C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</Words>
  <Characters>292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Alvarenga</dc:creator>
  <cp:lastModifiedBy>Alvarenga</cp:lastModifiedBy>
  <cp:revision>1</cp:revision>
  <dcterms:created xsi:type="dcterms:W3CDTF">2013-11-10T13:05:00Z</dcterms:created>
  <dcterms:modified xsi:type="dcterms:W3CDTF">2013-11-10T13:11:00Z</dcterms:modified>
</cp:coreProperties>
</file>