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2428" w:rsidRPr="00324F72" w:rsidRDefault="00324F72" w:rsidP="00324F72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24F72">
        <w:rPr>
          <w:rFonts w:ascii="Times New Roman" w:hAnsi="Times New Roman" w:cs="Times New Roman"/>
          <w:b/>
          <w:sz w:val="24"/>
          <w:szCs w:val="24"/>
        </w:rPr>
        <w:t>Figuras</w:t>
      </w:r>
    </w:p>
    <w:p w:rsidR="00324F72" w:rsidRPr="00324F72" w:rsidRDefault="00324F72" w:rsidP="00324F72">
      <w:pPr>
        <w:spacing w:line="338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0FD602C4" wp14:editId="2034D094">
            <wp:extent cx="4572000" cy="2790825"/>
            <wp:effectExtent l="0" t="0" r="0" b="0"/>
            <wp:docPr id="1" name="Gráfico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324F72" w:rsidRPr="00324F72" w:rsidRDefault="00324F72" w:rsidP="00324F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b/>
          <w:sz w:val="24"/>
          <w:szCs w:val="24"/>
        </w:rPr>
        <w:t>Figura 1.</w:t>
      </w:r>
      <w:r w:rsidRPr="00324F72">
        <w:rPr>
          <w:rFonts w:ascii="Times New Roman" w:hAnsi="Times New Roman" w:cs="Times New Roman"/>
          <w:sz w:val="24"/>
          <w:szCs w:val="24"/>
        </w:rPr>
        <w:t xml:space="preserve"> Variação da taxa respiratória (mL CO</w:t>
      </w:r>
      <w:r w:rsidRPr="00324F72">
        <w:rPr>
          <w:rFonts w:ascii="Times New Roman" w:hAnsi="Times New Roman" w:cs="Times New Roman"/>
          <w:sz w:val="24"/>
          <w:szCs w:val="24"/>
          <w:vertAlign w:val="subscript"/>
        </w:rPr>
        <w:t>2</w:t>
      </w:r>
      <w:r w:rsidRPr="00324F72">
        <w:rPr>
          <w:rFonts w:ascii="Times New Roman" w:hAnsi="Times New Roman" w:cs="Times New Roman"/>
          <w:sz w:val="24"/>
          <w:szCs w:val="24"/>
        </w:rPr>
        <w:t xml:space="preserve"> kg</w:t>
      </w:r>
      <w:r w:rsidRPr="00324F7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24F72">
        <w:rPr>
          <w:rFonts w:ascii="Times New Roman" w:hAnsi="Times New Roman" w:cs="Times New Roman"/>
          <w:sz w:val="24"/>
          <w:szCs w:val="24"/>
        </w:rPr>
        <w:t xml:space="preserve"> h</w:t>
      </w:r>
      <w:r w:rsidRPr="00324F7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24F72">
        <w:rPr>
          <w:rFonts w:ascii="Times New Roman" w:hAnsi="Times New Roman" w:cs="Times New Roman"/>
          <w:sz w:val="24"/>
          <w:szCs w:val="24"/>
        </w:rPr>
        <w:t>) em abacaxi tratados ou não com radiação gama e armazenados a temperatura ambiente e a 10°C por vinte dias. T1: Com radiação gama + armazenamento em temperatura ambiente; T2: Sem radiação + armazenamento em temperatura ambiente; T3: Com radiação gama + armazenamento refrigerado e T4: Sem radiação gama + armazenamento refrigerado.</w:t>
      </w:r>
    </w:p>
    <w:p w:rsidR="00324F72" w:rsidRPr="00324F72" w:rsidRDefault="00324F72" w:rsidP="00324F72">
      <w:pPr>
        <w:spacing w:line="480" w:lineRule="auto"/>
        <w:ind w:firstLine="703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25327A29" wp14:editId="1C8539CF">
            <wp:extent cx="4572000" cy="2790825"/>
            <wp:effectExtent l="0" t="0" r="0" b="0"/>
            <wp:docPr id="2" name="Gráfico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324F72" w:rsidRPr="00324F72" w:rsidRDefault="00324F72" w:rsidP="00324F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b/>
          <w:sz w:val="24"/>
          <w:szCs w:val="24"/>
        </w:rPr>
        <w:t>Figura 2.</w:t>
      </w:r>
      <w:r w:rsidRPr="00324F72">
        <w:rPr>
          <w:rFonts w:ascii="Times New Roman" w:hAnsi="Times New Roman" w:cs="Times New Roman"/>
          <w:sz w:val="24"/>
          <w:szCs w:val="24"/>
        </w:rPr>
        <w:t xml:space="preserve"> Taxa de produção de etileno (</w:t>
      </w:r>
      <w:r w:rsidRPr="00324F72">
        <w:rPr>
          <w:rFonts w:ascii="Times New Roman" w:eastAsia="Arial" w:hAnsi="Times New Roman" w:cs="Times New Roman"/>
          <w:sz w:val="24"/>
          <w:szCs w:val="24"/>
        </w:rPr>
        <w:t>µ</w:t>
      </w:r>
      <w:r w:rsidRPr="00324F72">
        <w:rPr>
          <w:rFonts w:ascii="Times New Roman" w:hAnsi="Times New Roman" w:cs="Times New Roman"/>
          <w:sz w:val="24"/>
          <w:szCs w:val="24"/>
        </w:rPr>
        <w:t>L kg</w:t>
      </w:r>
      <w:r w:rsidRPr="00324F7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24F72">
        <w:rPr>
          <w:rFonts w:ascii="Times New Roman" w:hAnsi="Times New Roman" w:cs="Times New Roman"/>
          <w:sz w:val="24"/>
          <w:szCs w:val="24"/>
        </w:rPr>
        <w:t xml:space="preserve"> h</w:t>
      </w:r>
      <w:r w:rsidRPr="00324F72">
        <w:rPr>
          <w:rFonts w:ascii="Times New Roman" w:hAnsi="Times New Roman" w:cs="Times New Roman"/>
          <w:sz w:val="24"/>
          <w:szCs w:val="24"/>
          <w:vertAlign w:val="superscript"/>
        </w:rPr>
        <w:t>-1</w:t>
      </w:r>
      <w:r w:rsidRPr="00324F72">
        <w:rPr>
          <w:rFonts w:ascii="Times New Roman" w:hAnsi="Times New Roman" w:cs="Times New Roman"/>
          <w:sz w:val="24"/>
          <w:szCs w:val="24"/>
        </w:rPr>
        <w:t xml:space="preserve">) em abacaxis tratados ou não com radiação gama e armazenados a temperatura ambiente e a 10°C por vinte dias. T1: Com </w:t>
      </w:r>
      <w:r w:rsidRPr="00324F72">
        <w:rPr>
          <w:rFonts w:ascii="Times New Roman" w:hAnsi="Times New Roman" w:cs="Times New Roman"/>
          <w:sz w:val="24"/>
          <w:szCs w:val="24"/>
        </w:rPr>
        <w:lastRenderedPageBreak/>
        <w:t>radiação gama + armazenamento em temperatura ambiente; T2: Sem radiação + armazenamento em temperatura ambiente; T3: Com radiação gama + armazenamento refrigerado e T4: Sem radiação gama + armazenamento refrigerado.</w:t>
      </w:r>
    </w:p>
    <w:p w:rsidR="00324F72" w:rsidRPr="00324F72" w:rsidRDefault="00324F72" w:rsidP="00324F7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24F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E07758B" wp14:editId="3F3529F1">
            <wp:extent cx="4572000" cy="2743200"/>
            <wp:effectExtent l="0" t="0" r="0" b="0"/>
            <wp:docPr id="3" name="Gráfico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324F72" w:rsidRPr="00324F72" w:rsidRDefault="00324F72" w:rsidP="00324F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b/>
          <w:sz w:val="24"/>
          <w:szCs w:val="24"/>
        </w:rPr>
        <w:t>Figura 3.</w:t>
      </w:r>
      <w:r w:rsidRPr="00324F72">
        <w:rPr>
          <w:rFonts w:ascii="Times New Roman" w:hAnsi="Times New Roman" w:cs="Times New Roman"/>
          <w:sz w:val="24"/>
          <w:szCs w:val="24"/>
        </w:rPr>
        <w:t xml:space="preserve"> Acidez titulável (% ácido cítrico) em abacaxis tratados ou não com radiação gama e armazenados a temperatura ambiente e a 10°C por vinte dias. T1: Com radiação gama + armazenamento em temperatura ambiente; T2: Sem radiação + armazenamento em temperatura ambiente; T3: Com radiação gama + armazenamento refrigerado e T4: Sem radiação gama + armazenamento refrigerado.</w:t>
      </w:r>
      <w:bookmarkStart w:id="0" w:name="page49"/>
      <w:bookmarkEnd w:id="0"/>
    </w:p>
    <w:p w:rsidR="00324F72" w:rsidRPr="00324F72" w:rsidRDefault="00324F72" w:rsidP="00324F72">
      <w:pPr>
        <w:spacing w:line="480" w:lineRule="auto"/>
        <w:ind w:firstLine="690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7596D139" wp14:editId="35E56D45">
            <wp:extent cx="4572000" cy="2781300"/>
            <wp:effectExtent l="0" t="0" r="0" b="0"/>
            <wp:docPr id="4" name="Gráfico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324F72" w:rsidRPr="00324F72" w:rsidRDefault="00324F72" w:rsidP="00324F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b/>
          <w:sz w:val="24"/>
          <w:szCs w:val="24"/>
        </w:rPr>
        <w:lastRenderedPageBreak/>
        <w:t>Figura 4.</w:t>
      </w:r>
      <w:r w:rsidRPr="00324F72">
        <w:rPr>
          <w:rFonts w:ascii="Times New Roman" w:hAnsi="Times New Roman" w:cs="Times New Roman"/>
          <w:sz w:val="24"/>
          <w:szCs w:val="24"/>
        </w:rPr>
        <w:t xml:space="preserve"> Redução da firmeza (N) em abacaxis tratados ou não com radiação gama e armazenados a temperatura ambiente e a 10°C por vinte dias. T1: Com radiação gama + armazenamento em temperatura ambiente; T2: Sem radiação + armazenamento em temperatura ambiente; T3: Com radiação gama + armazenamento refrigerado e T4: Sem radiação gama + armazenamento refrigerado.  </w:t>
      </w:r>
    </w:p>
    <w:p w:rsidR="00324F72" w:rsidRPr="00324F72" w:rsidRDefault="00324F72" w:rsidP="00324F72">
      <w:pPr>
        <w:spacing w:line="480" w:lineRule="auto"/>
        <w:jc w:val="center"/>
        <w:rPr>
          <w:rFonts w:ascii="Times New Roman" w:hAnsi="Times New Roman" w:cs="Times New Roman"/>
          <w:noProof/>
          <w:sz w:val="24"/>
          <w:szCs w:val="24"/>
        </w:rPr>
      </w:pPr>
      <w:r w:rsidRPr="00324F72">
        <w:rPr>
          <w:rFonts w:ascii="Times New Roman" w:hAnsi="Times New Roman" w:cs="Times New Roman"/>
          <w:noProof/>
          <w:sz w:val="24"/>
          <w:szCs w:val="24"/>
          <w:lang w:eastAsia="pt-BR"/>
        </w:rPr>
        <w:drawing>
          <wp:inline distT="0" distB="0" distL="0" distR="0" wp14:anchorId="3D9DC9C2" wp14:editId="6951DB36">
            <wp:extent cx="4572000" cy="2781300"/>
            <wp:effectExtent l="0" t="0" r="0" b="0"/>
            <wp:docPr id="5" name="Gráfico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324F72" w:rsidRPr="00324F72" w:rsidRDefault="00324F72" w:rsidP="00324F7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24F72">
        <w:rPr>
          <w:rFonts w:ascii="Times New Roman" w:hAnsi="Times New Roman" w:cs="Times New Roman"/>
          <w:b/>
          <w:sz w:val="24"/>
          <w:szCs w:val="24"/>
        </w:rPr>
        <w:t>Figura 5.</w:t>
      </w:r>
      <w:r w:rsidRPr="00324F72">
        <w:rPr>
          <w:rFonts w:ascii="Times New Roman" w:hAnsi="Times New Roman" w:cs="Times New Roman"/>
          <w:sz w:val="24"/>
          <w:szCs w:val="24"/>
        </w:rPr>
        <w:t xml:space="preserve"> Coloração da casca (</w:t>
      </w:r>
      <w:proofErr w:type="spellStart"/>
      <w:r w:rsidRPr="00324F72">
        <w:rPr>
          <w:rFonts w:ascii="Times New Roman" w:hAnsi="Times New Roman" w:cs="Times New Roman"/>
          <w:sz w:val="24"/>
          <w:szCs w:val="24"/>
        </w:rPr>
        <w:t>°H</w:t>
      </w:r>
      <w:proofErr w:type="spellEnd"/>
      <w:r w:rsidRPr="00324F72">
        <w:rPr>
          <w:rFonts w:ascii="Times New Roman" w:hAnsi="Times New Roman" w:cs="Times New Roman"/>
          <w:sz w:val="24"/>
          <w:szCs w:val="24"/>
        </w:rPr>
        <w:t xml:space="preserve">) em abacaxis tratados ou não com radiação gama e armazenados a temperatura ambiente e a 10°C por vinte dias. T1: Com radiação gama + armazenamento em temperatura ambiente; T2: Sem radiação + armazenamento em temperatura ambiente; T3: Com radiação gama + armazenamento refrigerado e T4: Sem radiação gama + armazenamento refrigerado.  </w:t>
      </w:r>
      <w:bookmarkStart w:id="1" w:name="page54"/>
      <w:bookmarkStart w:id="2" w:name="page58"/>
      <w:bookmarkEnd w:id="1"/>
      <w:bookmarkEnd w:id="2"/>
    </w:p>
    <w:p w:rsidR="00324F72" w:rsidRPr="00324F72" w:rsidRDefault="00324F72" w:rsidP="00324F72">
      <w:pPr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sectPr w:rsidR="00324F72" w:rsidRPr="00324F7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F72"/>
    <w:rsid w:val="00324F72"/>
    <w:rsid w:val="00C424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4F7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324F7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24F7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11" Type="http://schemas.openxmlformats.org/officeDocument/2006/relationships/theme" Target="theme/theme1.xml"/><Relationship Id="rId5" Type="http://schemas.openxmlformats.org/officeDocument/2006/relationships/chart" Target="charts/chart1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hart" Target="charts/chart5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%20Sanches\Desktop\acta%20iguazu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%20Sanches\Desktop\acta%20iguazu.xlsx" TargetMode="External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%20Sanches\Desktop\acta%20iguazu.xlsx" TargetMode="External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%20Sanches\Desktop\acta%20iguazu.xlsx" TargetMode="External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Alex%20Sanches\Desktop\acta%20iguazu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9.8631889763779526E-2"/>
          <c:y val="3.6241971460052133E-2"/>
          <c:w val="0.86039588801399824"/>
          <c:h val="0.81806956724266122"/>
        </c:manualLayout>
      </c:layout>
      <c:scatterChart>
        <c:scatterStyle val="smoothMarker"/>
        <c:varyColors val="0"/>
        <c:ser>
          <c:idx val="0"/>
          <c:order val="0"/>
          <c:tx>
            <c:strRef>
              <c:f>abacaxi!$D$8</c:f>
              <c:strCache>
                <c:ptCount val="1"/>
                <c:pt idx="0">
                  <c:v>T1</c:v>
                </c:pt>
              </c:strCache>
            </c:strRef>
          </c:tx>
          <c:spPr>
            <a:ln w="28575">
              <a:solidFill>
                <a:schemeClr val="tx1"/>
              </a:solidFill>
              <a:prstDash val="dashDot"/>
            </a:ln>
          </c:spPr>
          <c:marker>
            <c:symbol val="diamond"/>
            <c:size val="5"/>
            <c:spPr>
              <a:solidFill>
                <a:schemeClr val="tx1"/>
              </a:solidFill>
              <a:ln>
                <a:solidFill>
                  <a:schemeClr val="tx1"/>
                </a:solidFill>
              </a:ln>
            </c:spPr>
          </c:marker>
          <c:xVal>
            <c:numRef>
              <c:f>abacaxi!$E$7:$J$7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abacaxi!$E$8:$J$8</c:f>
              <c:numCache>
                <c:formatCode>General</c:formatCode>
                <c:ptCount val="6"/>
                <c:pt idx="0">
                  <c:v>8.6999999999999993</c:v>
                </c:pt>
                <c:pt idx="1">
                  <c:v>13.7</c:v>
                </c:pt>
                <c:pt idx="2">
                  <c:v>13.4</c:v>
                </c:pt>
                <c:pt idx="3">
                  <c:v>22.3</c:v>
                </c:pt>
                <c:pt idx="4">
                  <c:v>18.8</c:v>
                </c:pt>
                <c:pt idx="5">
                  <c:v>16.5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abacaxi!$D$9</c:f>
              <c:strCache>
                <c:ptCount val="1"/>
                <c:pt idx="0">
                  <c:v>T2</c:v>
                </c:pt>
              </c:strCache>
            </c:strRef>
          </c:tx>
          <c:spPr>
            <a:ln w="28575">
              <a:solidFill>
                <a:schemeClr val="tx1"/>
              </a:solidFill>
              <a:prstDash val="sysDot"/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abacaxi!$E$7:$J$7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abacaxi!$E$9:$J$9</c:f>
              <c:numCache>
                <c:formatCode>General</c:formatCode>
                <c:ptCount val="6"/>
                <c:pt idx="0">
                  <c:v>8.6999999999999993</c:v>
                </c:pt>
                <c:pt idx="1">
                  <c:v>17.899999999999999</c:v>
                </c:pt>
                <c:pt idx="2">
                  <c:v>23.5</c:v>
                </c:pt>
                <c:pt idx="3">
                  <c:v>17.5</c:v>
                </c:pt>
                <c:pt idx="4">
                  <c:v>15.7</c:v>
                </c:pt>
                <c:pt idx="5">
                  <c:v>10.4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abacaxi!$D$10</c:f>
              <c:strCache>
                <c:ptCount val="1"/>
                <c:pt idx="0">
                  <c:v>T3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star"/>
            <c:size val="5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abacaxi!$E$7:$J$7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abacaxi!$E$10:$J$10</c:f>
              <c:numCache>
                <c:formatCode>General</c:formatCode>
                <c:ptCount val="6"/>
                <c:pt idx="0">
                  <c:v>8.6999999999999993</c:v>
                </c:pt>
                <c:pt idx="1">
                  <c:v>8.9</c:v>
                </c:pt>
                <c:pt idx="2">
                  <c:v>9.5</c:v>
                </c:pt>
                <c:pt idx="3">
                  <c:v>10.6</c:v>
                </c:pt>
                <c:pt idx="4">
                  <c:v>11.7</c:v>
                </c:pt>
                <c:pt idx="5">
                  <c:v>12.9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abacaxi!$D$11</c:f>
              <c:strCache>
                <c:ptCount val="1"/>
                <c:pt idx="0">
                  <c:v>T4</c:v>
                </c:pt>
              </c:strCache>
            </c:strRef>
          </c:tx>
          <c:spPr>
            <a:ln w="22225">
              <a:solidFill>
                <a:schemeClr val="tx1"/>
              </a:solidFill>
              <a:prstDash val="solid"/>
            </a:ln>
          </c:spPr>
          <c:marker>
            <c:symbol val="circle"/>
            <c:size val="7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abacaxi!$E$7:$J$7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abacaxi!$E$11:$J$11</c:f>
              <c:numCache>
                <c:formatCode>General</c:formatCode>
                <c:ptCount val="6"/>
                <c:pt idx="0">
                  <c:v>8.6999999999999993</c:v>
                </c:pt>
                <c:pt idx="1">
                  <c:v>9.9</c:v>
                </c:pt>
                <c:pt idx="2">
                  <c:v>10.8</c:v>
                </c:pt>
                <c:pt idx="3">
                  <c:v>10.1</c:v>
                </c:pt>
                <c:pt idx="4">
                  <c:v>12.4</c:v>
                </c:pt>
                <c:pt idx="5">
                  <c:v>14.9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6604928"/>
        <c:axId val="160791168"/>
      </c:scatterChart>
      <c:valAx>
        <c:axId val="206604928"/>
        <c:scaling>
          <c:orientation val="minMax"/>
          <c:max val="20.399999999999999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Dias de análise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0791168"/>
        <c:crosses val="autoZero"/>
        <c:crossBetween val="midCat"/>
        <c:majorUnit val="4"/>
        <c:minorUnit val="1"/>
      </c:valAx>
      <c:valAx>
        <c:axId val="160791168"/>
        <c:scaling>
          <c:orientation val="minMax"/>
          <c:max val="25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Taxa respiratória (</a:t>
                </a:r>
                <a:r>
                  <a:rPr lang="pt-BR"/>
                  <a:t>mL CO2 kg</a:t>
                </a:r>
                <a:r>
                  <a:rPr lang="pt-BR" baseline="30000"/>
                  <a:t>-1</a:t>
                </a:r>
                <a:r>
                  <a:rPr lang="pt-BR"/>
                  <a:t> h</a:t>
                </a:r>
                <a:r>
                  <a:rPr lang="pt-BR" baseline="30000"/>
                  <a:t>-1</a:t>
                </a:r>
                <a:r>
                  <a:rPr lang="en-US"/>
                  <a:t>)</a:t>
                </a:r>
              </a:p>
            </c:rich>
          </c:tx>
          <c:layout>
            <c:manualLayout>
              <c:xMode val="edge"/>
              <c:yMode val="edge"/>
              <c:x val="0"/>
              <c:y val="0.1136026085476516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206604928"/>
        <c:crosses val="autoZero"/>
        <c:crossBetween val="midCat"/>
        <c:majorUnit val="5"/>
        <c:minorUnit val="1"/>
      </c:valAx>
      <c:spPr>
        <a:ln>
          <a:solidFill>
            <a:schemeClr val="tx1"/>
          </a:solidFill>
        </a:ln>
      </c:spPr>
    </c:plotArea>
    <c:legend>
      <c:legendPos val="t"/>
      <c:layout>
        <c:manualLayout>
          <c:xMode val="edge"/>
          <c:yMode val="edge"/>
          <c:x val="0.26037773403324582"/>
          <c:y val="0.71444823663253698"/>
          <c:w val="0.5681332020997375"/>
          <c:h val="7.7197602859369538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solidFill>
            <a:sysClr val="windowText" lastClr="000000"/>
          </a:solidFill>
          <a:latin typeface="Times New Roman" pitchFamily="18" charset="0"/>
          <a:cs typeface="Times New Roman" pitchFamily="18" charset="0"/>
        </a:defRPr>
      </a:pPr>
      <a:endParaRPr lang="pt-BR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390966754155731"/>
          <c:y val="3.1691345749016865E-2"/>
          <c:w val="0.84511811023622052"/>
          <c:h val="0.8089683158205907"/>
        </c:manualLayout>
      </c:layout>
      <c:scatterChart>
        <c:scatterStyle val="smoothMarker"/>
        <c:varyColors val="0"/>
        <c:ser>
          <c:idx val="0"/>
          <c:order val="0"/>
          <c:tx>
            <c:strRef>
              <c:f>abacaxi!$N$8</c:f>
              <c:strCache>
                <c:ptCount val="1"/>
                <c:pt idx="0">
                  <c:v>T1</c:v>
                </c:pt>
              </c:strCache>
            </c:strRef>
          </c:tx>
          <c:spPr>
            <a:ln w="28575">
              <a:solidFill>
                <a:schemeClr val="tx1"/>
              </a:solidFill>
              <a:prstDash val="dashDot"/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abacaxi!$O$7:$T$7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abacaxi!$O$8:$T$8</c:f>
              <c:numCache>
                <c:formatCode>General</c:formatCode>
                <c:ptCount val="6"/>
                <c:pt idx="0">
                  <c:v>0.5</c:v>
                </c:pt>
                <c:pt idx="1">
                  <c:v>0.9</c:v>
                </c:pt>
                <c:pt idx="2">
                  <c:v>1.2</c:v>
                </c:pt>
                <c:pt idx="3">
                  <c:v>2.5</c:v>
                </c:pt>
                <c:pt idx="4">
                  <c:v>1.9</c:v>
                </c:pt>
                <c:pt idx="5">
                  <c:v>2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abacaxi!$N$9</c:f>
              <c:strCache>
                <c:ptCount val="1"/>
                <c:pt idx="0">
                  <c:v>T2</c:v>
                </c:pt>
              </c:strCache>
            </c:strRef>
          </c:tx>
          <c:spPr>
            <a:ln w="34925">
              <a:solidFill>
                <a:schemeClr val="tx1"/>
              </a:solidFill>
              <a:prstDash val="sysDot"/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abacaxi!$O$7:$T$7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abacaxi!$O$9:$T$9</c:f>
              <c:numCache>
                <c:formatCode>General</c:formatCode>
                <c:ptCount val="6"/>
                <c:pt idx="0">
                  <c:v>0.5</c:v>
                </c:pt>
                <c:pt idx="1">
                  <c:v>1</c:v>
                </c:pt>
                <c:pt idx="2">
                  <c:v>2.6</c:v>
                </c:pt>
                <c:pt idx="3">
                  <c:v>1.9</c:v>
                </c:pt>
                <c:pt idx="4">
                  <c:v>2.2999999999999998</c:v>
                </c:pt>
                <c:pt idx="5">
                  <c:v>1.8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abacaxi!$N$10</c:f>
              <c:strCache>
                <c:ptCount val="1"/>
                <c:pt idx="0">
                  <c:v>T3</c:v>
                </c:pt>
              </c:strCache>
            </c:strRef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star"/>
            <c:size val="7"/>
            <c:spPr>
              <a:ln>
                <a:solidFill>
                  <a:schemeClr val="tx1"/>
                </a:solidFill>
              </a:ln>
            </c:spPr>
          </c:marker>
          <c:xVal>
            <c:numRef>
              <c:f>abacaxi!$O$7:$T$7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abacaxi!$O$10:$T$10</c:f>
              <c:numCache>
                <c:formatCode>General</c:formatCode>
                <c:ptCount val="6"/>
                <c:pt idx="0">
                  <c:v>0.5</c:v>
                </c:pt>
                <c:pt idx="1">
                  <c:v>0.6</c:v>
                </c:pt>
                <c:pt idx="2">
                  <c:v>0.6</c:v>
                </c:pt>
                <c:pt idx="3">
                  <c:v>0.9</c:v>
                </c:pt>
                <c:pt idx="4">
                  <c:v>1.4</c:v>
                </c:pt>
                <c:pt idx="5">
                  <c:v>1.3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abacaxi!$N$11</c:f>
              <c:strCache>
                <c:ptCount val="1"/>
                <c:pt idx="0">
                  <c:v>T4</c:v>
                </c:pt>
              </c:strCache>
            </c:strRef>
          </c:tx>
          <c:spPr>
            <a:ln w="25400">
              <a:solidFill>
                <a:schemeClr val="tx1"/>
              </a:solidFill>
              <a:prstDash val="solid"/>
            </a:ln>
          </c:spPr>
          <c:marker>
            <c:symbol val="circle"/>
            <c:size val="5"/>
            <c:spPr>
              <a:noFill/>
              <a:ln w="15875">
                <a:solidFill>
                  <a:schemeClr val="tx1"/>
                </a:solidFill>
              </a:ln>
            </c:spPr>
          </c:marker>
          <c:xVal>
            <c:numRef>
              <c:f>abacaxi!$O$7:$T$7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abacaxi!$O$11:$T$11</c:f>
              <c:numCache>
                <c:formatCode>General</c:formatCode>
                <c:ptCount val="6"/>
                <c:pt idx="0">
                  <c:v>0.5</c:v>
                </c:pt>
                <c:pt idx="1">
                  <c:v>0.7</c:v>
                </c:pt>
                <c:pt idx="2">
                  <c:v>0.85</c:v>
                </c:pt>
                <c:pt idx="3">
                  <c:v>1.2</c:v>
                </c:pt>
                <c:pt idx="4">
                  <c:v>1.6</c:v>
                </c:pt>
                <c:pt idx="5">
                  <c:v>1.4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0867072"/>
        <c:axId val="160869376"/>
      </c:scatterChart>
      <c:valAx>
        <c:axId val="160867072"/>
        <c:scaling>
          <c:orientation val="minMax"/>
          <c:max val="20.399999999999999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Dias de análise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0869376"/>
        <c:crosses val="autoZero"/>
        <c:crossBetween val="midCat"/>
        <c:majorUnit val="4"/>
        <c:minorUnit val="1"/>
      </c:valAx>
      <c:valAx>
        <c:axId val="160869376"/>
        <c:scaling>
          <c:orientation val="minMax"/>
          <c:max val="3"/>
          <c:min val="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Produção de etileno (</a:t>
                </a:r>
                <a:r>
                  <a:rPr lang="pt-BR"/>
                  <a:t>µL kg-1 h-1</a:t>
                </a:r>
                <a:r>
                  <a:rPr lang="en-US"/>
                  <a:t>)</a:t>
                </a:r>
              </a:p>
            </c:rich>
          </c:tx>
          <c:layout>
            <c:manualLayout>
              <c:xMode val="edge"/>
              <c:yMode val="edge"/>
              <c:x val="0"/>
              <c:y val="9.9950731414545885E-2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0867072"/>
        <c:crosses val="autoZero"/>
        <c:crossBetween val="midCat"/>
        <c:majorUnit val="0.30000000000000004"/>
      </c:valAx>
      <c:spPr>
        <a:ln>
          <a:solidFill>
            <a:schemeClr val="tx1"/>
          </a:solidFill>
        </a:ln>
      </c:spPr>
    </c:plotArea>
    <c:legend>
      <c:legendPos val="t"/>
      <c:layout>
        <c:manualLayout>
          <c:xMode val="edge"/>
          <c:yMode val="edge"/>
          <c:x val="0.28815551181102361"/>
          <c:y val="0.74630261660978381"/>
          <c:w val="0.5681332020997375"/>
          <c:h val="7.7197602859369538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solidFill>
            <a:sysClr val="windowText" lastClr="000000"/>
          </a:solidFill>
          <a:latin typeface="Times New Roman" pitchFamily="18" charset="0"/>
          <a:cs typeface="Times New Roman" pitchFamily="18" charset="0"/>
        </a:defRPr>
      </a:pPr>
      <a:endParaRPr lang="pt-BR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3335411198600175"/>
          <c:y val="2.5636482939632547E-2"/>
          <c:w val="0.82567366579177603"/>
          <c:h val="0.80565179352580929"/>
        </c:manualLayout>
      </c:layout>
      <c:scatterChart>
        <c:scatterStyle val="smoothMarker"/>
        <c:varyColors val="0"/>
        <c:ser>
          <c:idx val="0"/>
          <c:order val="0"/>
          <c:tx>
            <c:strRef>
              <c:f>abacaxi!$M$29</c:f>
              <c:strCache>
                <c:ptCount val="1"/>
                <c:pt idx="0">
                  <c:v>T1</c:v>
                </c:pt>
              </c:strCache>
            </c:strRef>
          </c:tx>
          <c:spPr>
            <a:ln w="28575">
              <a:solidFill>
                <a:schemeClr val="tx1"/>
              </a:solidFill>
              <a:prstDash val="dashDot"/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abacaxi!$N$28:$S$28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abacaxi!$N$29:$S$29</c:f>
              <c:numCache>
                <c:formatCode>General</c:formatCode>
                <c:ptCount val="6"/>
                <c:pt idx="0">
                  <c:v>0.6</c:v>
                </c:pt>
                <c:pt idx="1">
                  <c:v>0.89</c:v>
                </c:pt>
                <c:pt idx="2">
                  <c:v>1.21</c:v>
                </c:pt>
                <c:pt idx="3">
                  <c:v>0.9</c:v>
                </c:pt>
                <c:pt idx="4">
                  <c:v>0.73</c:v>
                </c:pt>
                <c:pt idx="5">
                  <c:v>0.57999999999999996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abacaxi!$M$30</c:f>
              <c:strCache>
                <c:ptCount val="1"/>
                <c:pt idx="0">
                  <c:v>T2</c:v>
                </c:pt>
              </c:strCache>
            </c:strRef>
          </c:tx>
          <c:spPr>
            <a:ln w="28575">
              <a:solidFill>
                <a:schemeClr val="tx1"/>
              </a:solidFill>
              <a:prstDash val="sysDot"/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abacaxi!$N$28:$S$28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abacaxi!$N$30:$S$30</c:f>
              <c:numCache>
                <c:formatCode>General</c:formatCode>
                <c:ptCount val="6"/>
                <c:pt idx="0">
                  <c:v>0.6</c:v>
                </c:pt>
                <c:pt idx="1">
                  <c:v>1.1299999999999999</c:v>
                </c:pt>
                <c:pt idx="2">
                  <c:v>0.93</c:v>
                </c:pt>
                <c:pt idx="3">
                  <c:v>0.71</c:v>
                </c:pt>
                <c:pt idx="4">
                  <c:v>0.62</c:v>
                </c:pt>
                <c:pt idx="5">
                  <c:v>0.45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abacaxi!$M$31</c:f>
              <c:strCache>
                <c:ptCount val="1"/>
                <c:pt idx="0">
                  <c:v>T3</c:v>
                </c:pt>
              </c:strCache>
            </c:strRef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star"/>
            <c:size val="7"/>
            <c:spPr>
              <a:ln>
                <a:solidFill>
                  <a:schemeClr val="tx1"/>
                </a:solidFill>
              </a:ln>
            </c:spPr>
          </c:marker>
          <c:xVal>
            <c:numRef>
              <c:f>abacaxi!$N$28:$S$28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abacaxi!$N$31:$S$31</c:f>
              <c:numCache>
                <c:formatCode>General</c:formatCode>
                <c:ptCount val="6"/>
                <c:pt idx="0">
                  <c:v>0.6</c:v>
                </c:pt>
                <c:pt idx="1">
                  <c:v>0.63</c:v>
                </c:pt>
                <c:pt idx="2">
                  <c:v>0.71</c:v>
                </c:pt>
                <c:pt idx="3">
                  <c:v>0.98</c:v>
                </c:pt>
                <c:pt idx="4">
                  <c:v>1.1399999999999999</c:v>
                </c:pt>
                <c:pt idx="5">
                  <c:v>1.23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abacaxi!$M$32</c:f>
              <c:strCache>
                <c:ptCount val="1"/>
                <c:pt idx="0">
                  <c:v>T4</c:v>
                </c:pt>
              </c:strCache>
            </c:strRef>
          </c:tx>
          <c:spPr>
            <a:ln w="19050">
              <a:solidFill>
                <a:schemeClr val="tx1"/>
              </a:solidFill>
              <a:prstDash val="solid"/>
            </a:ln>
          </c:spPr>
          <c:marker>
            <c:symbol val="circle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abacaxi!$N$28:$S$28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abacaxi!$N$32:$S$32</c:f>
              <c:numCache>
                <c:formatCode>General</c:formatCode>
                <c:ptCount val="6"/>
                <c:pt idx="0">
                  <c:v>0.6</c:v>
                </c:pt>
                <c:pt idx="1">
                  <c:v>0.7</c:v>
                </c:pt>
                <c:pt idx="2">
                  <c:v>0.84</c:v>
                </c:pt>
                <c:pt idx="3">
                  <c:v>1.1100000000000001</c:v>
                </c:pt>
                <c:pt idx="4">
                  <c:v>1.19</c:v>
                </c:pt>
                <c:pt idx="5">
                  <c:v>1.07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0957568"/>
        <c:axId val="160959872"/>
      </c:scatterChart>
      <c:valAx>
        <c:axId val="160957568"/>
        <c:scaling>
          <c:orientation val="minMax"/>
          <c:max val="20.399999999999999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Dias de análise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0959872"/>
        <c:crosses val="autoZero"/>
        <c:crossBetween val="midCat"/>
        <c:majorUnit val="4"/>
        <c:minorUnit val="1"/>
      </c:valAx>
      <c:valAx>
        <c:axId val="160959872"/>
        <c:scaling>
          <c:orientation val="minMax"/>
          <c:max val="1.5"/>
          <c:min val="0.2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Acidez titulável (% de ácido cítrico)</a:t>
                </a:r>
              </a:p>
            </c:rich>
          </c:tx>
          <c:layout>
            <c:manualLayout>
              <c:xMode val="edge"/>
              <c:yMode val="edge"/>
              <c:x val="1.9444444444444445E-2"/>
              <c:y val="0.10631561679790026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0957568"/>
        <c:crosses val="autoZero"/>
        <c:crossBetween val="midCat"/>
        <c:majorUnit val="0.2"/>
        <c:minorUnit val="2.0000000000000004E-2"/>
      </c:valAx>
      <c:spPr>
        <a:ln>
          <a:solidFill>
            <a:schemeClr val="tx1"/>
          </a:solidFill>
        </a:ln>
      </c:spPr>
    </c:plotArea>
    <c:legend>
      <c:legendPos val="t"/>
      <c:layout>
        <c:manualLayout>
          <c:xMode val="edge"/>
          <c:yMode val="edge"/>
          <c:x val="0.25482217847769029"/>
          <c:y val="0.68055555555555558"/>
          <c:w val="0.5681332020997375"/>
          <c:h val="7.8537839020122485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solidFill>
            <a:sysClr val="windowText" lastClr="000000"/>
          </a:solidFill>
          <a:latin typeface="Times New Roman" pitchFamily="18" charset="0"/>
          <a:cs typeface="Times New Roman" pitchFamily="18" charset="0"/>
        </a:defRPr>
      </a:pPr>
      <a:endParaRPr lang="pt-BR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529855643044619"/>
          <c:y val="2.7233667709344534E-2"/>
          <c:w val="0.84372922134733164"/>
          <c:h val="0.81744651781541011"/>
        </c:manualLayout>
      </c:layout>
      <c:scatterChart>
        <c:scatterStyle val="smoothMarker"/>
        <c:varyColors val="0"/>
        <c:ser>
          <c:idx val="0"/>
          <c:order val="0"/>
          <c:tx>
            <c:strRef>
              <c:f>abacaxi!$V$8</c:f>
              <c:strCache>
                <c:ptCount val="1"/>
                <c:pt idx="0">
                  <c:v>T1</c:v>
                </c:pt>
              </c:strCache>
            </c:strRef>
          </c:tx>
          <c:spPr>
            <a:ln w="28575">
              <a:solidFill>
                <a:schemeClr val="tx1"/>
              </a:solidFill>
              <a:prstDash val="dashDot"/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abacaxi!$W$7:$AB$7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abacaxi!$W$8:$AB$8</c:f>
              <c:numCache>
                <c:formatCode>General</c:formatCode>
                <c:ptCount val="6"/>
                <c:pt idx="0">
                  <c:v>48.4</c:v>
                </c:pt>
                <c:pt idx="1">
                  <c:v>41.8</c:v>
                </c:pt>
                <c:pt idx="2">
                  <c:v>37.5</c:v>
                </c:pt>
                <c:pt idx="3">
                  <c:v>31.4</c:v>
                </c:pt>
                <c:pt idx="4">
                  <c:v>24.6</c:v>
                </c:pt>
                <c:pt idx="5">
                  <c:v>19.7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abacaxi!$V$9</c:f>
              <c:strCache>
                <c:ptCount val="1"/>
                <c:pt idx="0">
                  <c:v>T2</c:v>
                </c:pt>
              </c:strCache>
            </c:strRef>
          </c:tx>
          <c:spPr>
            <a:ln w="28575">
              <a:solidFill>
                <a:schemeClr val="tx1"/>
              </a:solidFill>
              <a:prstDash val="sysDot"/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abacaxi!$W$7:$AB$7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abacaxi!$W$9:$AB$9</c:f>
              <c:numCache>
                <c:formatCode>General</c:formatCode>
                <c:ptCount val="6"/>
                <c:pt idx="0">
                  <c:v>48.4</c:v>
                </c:pt>
                <c:pt idx="1">
                  <c:v>43.4</c:v>
                </c:pt>
                <c:pt idx="2">
                  <c:v>32.299999999999997</c:v>
                </c:pt>
                <c:pt idx="3">
                  <c:v>26.5</c:v>
                </c:pt>
                <c:pt idx="4">
                  <c:v>22.6</c:v>
                </c:pt>
                <c:pt idx="5">
                  <c:v>18.2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abacaxi!$V$10</c:f>
              <c:strCache>
                <c:ptCount val="1"/>
                <c:pt idx="0">
                  <c:v>T3</c:v>
                </c:pt>
              </c:strCache>
            </c:strRef>
          </c:tx>
          <c:spPr>
            <a:ln w="25400">
              <a:solidFill>
                <a:schemeClr val="tx1"/>
              </a:solidFill>
              <a:prstDash val="sysDash"/>
            </a:ln>
          </c:spPr>
          <c:marker>
            <c:symbol val="star"/>
            <c:size val="5"/>
            <c:spPr>
              <a:ln>
                <a:solidFill>
                  <a:schemeClr val="tx1"/>
                </a:solidFill>
              </a:ln>
            </c:spPr>
          </c:marker>
          <c:xVal>
            <c:numRef>
              <c:f>abacaxi!$W$7:$AB$7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abacaxi!$W$10:$AB$10</c:f>
              <c:numCache>
                <c:formatCode>General</c:formatCode>
                <c:ptCount val="6"/>
                <c:pt idx="0">
                  <c:v>48.4</c:v>
                </c:pt>
                <c:pt idx="1">
                  <c:v>48.1</c:v>
                </c:pt>
                <c:pt idx="2">
                  <c:v>47.3</c:v>
                </c:pt>
                <c:pt idx="3">
                  <c:v>46.7</c:v>
                </c:pt>
                <c:pt idx="4">
                  <c:v>41.8</c:v>
                </c:pt>
                <c:pt idx="5">
                  <c:v>36.9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abacaxi!$V$11</c:f>
              <c:strCache>
                <c:ptCount val="1"/>
                <c:pt idx="0">
                  <c:v>T4</c:v>
                </c:pt>
              </c:strCache>
            </c:strRef>
          </c:tx>
          <c:spPr>
            <a:ln w="22225">
              <a:solidFill>
                <a:schemeClr val="tx1"/>
              </a:solidFill>
              <a:prstDash val="solid"/>
            </a:ln>
          </c:spPr>
          <c:marker>
            <c:symbol val="circle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abacaxi!$W$7:$AB$7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abacaxi!$W$11:$AB$11</c:f>
              <c:numCache>
                <c:formatCode>General</c:formatCode>
                <c:ptCount val="6"/>
                <c:pt idx="0">
                  <c:v>48.4</c:v>
                </c:pt>
                <c:pt idx="1">
                  <c:v>46.8</c:v>
                </c:pt>
                <c:pt idx="2">
                  <c:v>44.9</c:v>
                </c:pt>
                <c:pt idx="3">
                  <c:v>40.9</c:v>
                </c:pt>
                <c:pt idx="4">
                  <c:v>35.799999999999997</c:v>
                </c:pt>
                <c:pt idx="5">
                  <c:v>30.7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1342976"/>
        <c:axId val="161378304"/>
      </c:scatterChart>
      <c:valAx>
        <c:axId val="161342976"/>
        <c:scaling>
          <c:orientation val="minMax"/>
          <c:max val="20.399999999999999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Dias de análise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1378304"/>
        <c:crosses val="autoZero"/>
        <c:crossBetween val="midCat"/>
        <c:majorUnit val="4"/>
        <c:minorUnit val="1"/>
      </c:valAx>
      <c:valAx>
        <c:axId val="161378304"/>
        <c:scaling>
          <c:orientation val="minMax"/>
          <c:max val="55"/>
          <c:min val="1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Firmeza da casca (N)</a:t>
                </a:r>
              </a:p>
            </c:rich>
          </c:tx>
          <c:layout>
            <c:manualLayout>
              <c:xMode val="edge"/>
              <c:yMode val="edge"/>
              <c:x val="1.1111111111111112E-2"/>
              <c:y val="0.22764642433394455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1342976"/>
        <c:crosses val="autoZero"/>
        <c:crossBetween val="midCat"/>
        <c:majorUnit val="5"/>
        <c:minorUnit val="2"/>
      </c:valAx>
      <c:spPr>
        <a:ln>
          <a:solidFill>
            <a:schemeClr val="tx1"/>
          </a:solidFill>
        </a:ln>
      </c:spPr>
    </c:plotArea>
    <c:legend>
      <c:legendPos val="t"/>
      <c:layout>
        <c:manualLayout>
          <c:xMode val="edge"/>
          <c:yMode val="edge"/>
          <c:x val="0.27148884514435695"/>
          <c:y val="0.69863013698630139"/>
          <c:w val="0.5681332020997375"/>
          <c:h val="7.7461978211627661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solidFill>
            <a:sysClr val="windowText" lastClr="000000"/>
          </a:solidFill>
          <a:latin typeface="Times New Roman" pitchFamily="18" charset="0"/>
          <a:cs typeface="Times New Roman" pitchFamily="18" charset="0"/>
        </a:defRPr>
      </a:pPr>
      <a:endParaRPr lang="pt-BR"/>
    </a:p>
  </c:txPr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pt-B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1252077865266842"/>
          <c:y val="2.528529824182936E-2"/>
          <c:w val="0.84650699912510941"/>
          <c:h val="0.79461546758709956"/>
        </c:manualLayout>
      </c:layout>
      <c:scatterChart>
        <c:scatterStyle val="smoothMarker"/>
        <c:varyColors val="0"/>
        <c:ser>
          <c:idx val="0"/>
          <c:order val="0"/>
          <c:tx>
            <c:strRef>
              <c:f>abacaxi!$AE$8</c:f>
              <c:strCache>
                <c:ptCount val="1"/>
                <c:pt idx="0">
                  <c:v>T1</c:v>
                </c:pt>
              </c:strCache>
            </c:strRef>
          </c:tx>
          <c:spPr>
            <a:ln w="28575">
              <a:solidFill>
                <a:schemeClr val="tx1"/>
              </a:solidFill>
              <a:prstDash val="dashDot"/>
            </a:ln>
          </c:spPr>
          <c:marker>
            <c:symbol val="diamond"/>
            <c:size val="6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abacaxi!$AF$7:$AK$7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abacaxi!$AF$8:$AK$8</c:f>
              <c:numCache>
                <c:formatCode>General</c:formatCode>
                <c:ptCount val="6"/>
                <c:pt idx="0">
                  <c:v>68.5</c:v>
                </c:pt>
                <c:pt idx="1">
                  <c:v>64.5</c:v>
                </c:pt>
                <c:pt idx="2">
                  <c:v>60.7</c:v>
                </c:pt>
                <c:pt idx="3">
                  <c:v>53.1</c:v>
                </c:pt>
                <c:pt idx="4">
                  <c:v>49.8</c:v>
                </c:pt>
                <c:pt idx="5">
                  <c:v>46.9</c:v>
                </c:pt>
              </c:numCache>
            </c:numRef>
          </c:yVal>
          <c:smooth val="1"/>
        </c:ser>
        <c:ser>
          <c:idx val="1"/>
          <c:order val="1"/>
          <c:tx>
            <c:strRef>
              <c:f>abacaxi!$AE$9</c:f>
              <c:strCache>
                <c:ptCount val="1"/>
                <c:pt idx="0">
                  <c:v>T2</c:v>
                </c:pt>
              </c:strCache>
            </c:strRef>
          </c:tx>
          <c:spPr>
            <a:ln w="28575">
              <a:solidFill>
                <a:schemeClr val="tx1"/>
              </a:solidFill>
              <a:prstDash val="sysDot"/>
            </a:ln>
          </c:spPr>
          <c:marker>
            <c:symbol val="square"/>
            <c:size val="5"/>
            <c:spPr>
              <a:solidFill>
                <a:schemeClr val="tx1"/>
              </a:solidFill>
              <a:ln>
                <a:noFill/>
              </a:ln>
            </c:spPr>
          </c:marker>
          <c:xVal>
            <c:numRef>
              <c:f>abacaxi!$AF$7:$AK$7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abacaxi!$AF$9:$AK$9</c:f>
              <c:numCache>
                <c:formatCode>General</c:formatCode>
                <c:ptCount val="6"/>
                <c:pt idx="0">
                  <c:v>68.5</c:v>
                </c:pt>
                <c:pt idx="1">
                  <c:v>55.3</c:v>
                </c:pt>
                <c:pt idx="2">
                  <c:v>50.5</c:v>
                </c:pt>
                <c:pt idx="3">
                  <c:v>46.8</c:v>
                </c:pt>
                <c:pt idx="4">
                  <c:v>41.5</c:v>
                </c:pt>
                <c:pt idx="5">
                  <c:v>37.700000000000003</c:v>
                </c:pt>
              </c:numCache>
            </c:numRef>
          </c:yVal>
          <c:smooth val="1"/>
        </c:ser>
        <c:ser>
          <c:idx val="2"/>
          <c:order val="2"/>
          <c:tx>
            <c:strRef>
              <c:f>abacaxi!$AE$10</c:f>
              <c:strCache>
                <c:ptCount val="1"/>
                <c:pt idx="0">
                  <c:v>T3</c:v>
                </c:pt>
              </c:strCache>
            </c:strRef>
          </c:tx>
          <c:spPr>
            <a:ln w="19050">
              <a:solidFill>
                <a:schemeClr val="tx1"/>
              </a:solidFill>
              <a:prstDash val="sysDash"/>
            </a:ln>
          </c:spPr>
          <c:marker>
            <c:symbol val="star"/>
            <c:size val="5"/>
            <c:spPr>
              <a:ln>
                <a:solidFill>
                  <a:schemeClr val="tx1"/>
                </a:solidFill>
              </a:ln>
            </c:spPr>
          </c:marker>
          <c:xVal>
            <c:numRef>
              <c:f>abacaxi!$AF$7:$AK$7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abacaxi!$AF$10:$AK$10</c:f>
              <c:numCache>
                <c:formatCode>General</c:formatCode>
                <c:ptCount val="6"/>
                <c:pt idx="0">
                  <c:v>68.5</c:v>
                </c:pt>
                <c:pt idx="1">
                  <c:v>67.900000000000006</c:v>
                </c:pt>
                <c:pt idx="2">
                  <c:v>67.400000000000006</c:v>
                </c:pt>
                <c:pt idx="3">
                  <c:v>66.8</c:v>
                </c:pt>
                <c:pt idx="4">
                  <c:v>64.3</c:v>
                </c:pt>
                <c:pt idx="5">
                  <c:v>62.4</c:v>
                </c:pt>
              </c:numCache>
            </c:numRef>
          </c:yVal>
          <c:smooth val="1"/>
        </c:ser>
        <c:ser>
          <c:idx val="3"/>
          <c:order val="3"/>
          <c:tx>
            <c:strRef>
              <c:f>abacaxi!$AE$11</c:f>
              <c:strCache>
                <c:ptCount val="1"/>
                <c:pt idx="0">
                  <c:v>T4</c:v>
                </c:pt>
              </c:strCache>
            </c:strRef>
          </c:tx>
          <c:spPr>
            <a:ln w="22225">
              <a:solidFill>
                <a:schemeClr val="tx1"/>
              </a:solidFill>
              <a:prstDash val="solid"/>
            </a:ln>
          </c:spPr>
          <c:marker>
            <c:symbol val="circle"/>
            <c:size val="6"/>
            <c:spPr>
              <a:noFill/>
              <a:ln>
                <a:solidFill>
                  <a:schemeClr val="tx1"/>
                </a:solidFill>
              </a:ln>
            </c:spPr>
          </c:marker>
          <c:xVal>
            <c:numRef>
              <c:f>abacaxi!$AF$7:$AK$7</c:f>
              <c:numCache>
                <c:formatCode>General</c:formatCode>
                <c:ptCount val="6"/>
                <c:pt idx="0">
                  <c:v>0</c:v>
                </c:pt>
                <c:pt idx="1">
                  <c:v>4</c:v>
                </c:pt>
                <c:pt idx="2">
                  <c:v>8</c:v>
                </c:pt>
                <c:pt idx="3">
                  <c:v>12</c:v>
                </c:pt>
                <c:pt idx="4">
                  <c:v>16</c:v>
                </c:pt>
                <c:pt idx="5">
                  <c:v>20</c:v>
                </c:pt>
              </c:numCache>
            </c:numRef>
          </c:xVal>
          <c:yVal>
            <c:numRef>
              <c:f>abacaxi!$AF$11:$AK$11</c:f>
              <c:numCache>
                <c:formatCode>General</c:formatCode>
                <c:ptCount val="6"/>
                <c:pt idx="0">
                  <c:v>68.5</c:v>
                </c:pt>
                <c:pt idx="1">
                  <c:v>67.099999999999994</c:v>
                </c:pt>
                <c:pt idx="2">
                  <c:v>65.2</c:v>
                </c:pt>
                <c:pt idx="3">
                  <c:v>61.6</c:v>
                </c:pt>
                <c:pt idx="4">
                  <c:v>58.8</c:v>
                </c:pt>
                <c:pt idx="5">
                  <c:v>55.6</c:v>
                </c:pt>
              </c:numCache>
            </c:numRef>
          </c:yVal>
          <c:smooth val="1"/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61392512"/>
        <c:axId val="161399168"/>
      </c:scatterChart>
      <c:valAx>
        <c:axId val="161392512"/>
        <c:scaling>
          <c:orientation val="minMax"/>
          <c:max val="20.399999999999999"/>
          <c:min val="0"/>
        </c:scaling>
        <c:delete val="0"/>
        <c:axPos val="b"/>
        <c:title>
          <c:tx>
            <c:rich>
              <a:bodyPr/>
              <a:lstStyle/>
              <a:p>
                <a:pPr>
                  <a:defRPr/>
                </a:pPr>
                <a:r>
                  <a:rPr lang="en-US"/>
                  <a:t>Dias de análise</a:t>
                </a:r>
              </a:p>
            </c:rich>
          </c:tx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1399168"/>
        <c:crosses val="autoZero"/>
        <c:crossBetween val="midCat"/>
        <c:majorUnit val="4"/>
        <c:minorUnit val="1"/>
      </c:valAx>
      <c:valAx>
        <c:axId val="161399168"/>
        <c:scaling>
          <c:orientation val="minMax"/>
          <c:max val="75"/>
          <c:min val="30"/>
        </c:scaling>
        <c:delete val="0"/>
        <c:axPos val="l"/>
        <c:title>
          <c:tx>
            <c:rich>
              <a:bodyPr rot="-5400000" vert="horz"/>
              <a:lstStyle/>
              <a:p>
                <a:pPr>
                  <a:defRPr/>
                </a:pPr>
                <a:r>
                  <a:rPr lang="en-US"/>
                  <a:t>Coloração da casca (°H)</a:t>
                </a:r>
              </a:p>
            </c:rich>
          </c:tx>
          <c:layout>
            <c:manualLayout>
              <c:xMode val="edge"/>
              <c:yMode val="edge"/>
              <c:x val="8.3333333333333332E-3"/>
              <c:y val="0.22689281990436128"/>
            </c:manualLayout>
          </c:layout>
          <c:overlay val="0"/>
        </c:title>
        <c:numFmt formatCode="General" sourceLinked="1"/>
        <c:majorTickMark val="out"/>
        <c:minorTickMark val="none"/>
        <c:tickLblPos val="nextTo"/>
        <c:spPr>
          <a:ln>
            <a:solidFill>
              <a:schemeClr val="tx1"/>
            </a:solidFill>
          </a:ln>
        </c:spPr>
        <c:crossAx val="161392512"/>
        <c:crosses val="autoZero"/>
        <c:crossBetween val="midCat"/>
        <c:majorUnit val="5"/>
        <c:minorUnit val="2"/>
      </c:valAx>
      <c:spPr>
        <a:ln>
          <a:solidFill>
            <a:schemeClr val="tx1"/>
          </a:solidFill>
        </a:ln>
      </c:spPr>
    </c:plotArea>
    <c:legend>
      <c:legendPos val="t"/>
      <c:layout>
        <c:manualLayout>
          <c:xMode val="edge"/>
          <c:yMode val="edge"/>
          <c:x val="0.24926662292213472"/>
          <c:y val="0.71232876712328763"/>
          <c:w val="0.5681332020997375"/>
          <c:h val="7.7461978211627661E-2"/>
        </c:manualLayout>
      </c:layout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b="0">
          <a:solidFill>
            <a:sysClr val="windowText" lastClr="000000"/>
          </a:solidFill>
          <a:latin typeface="Times New Roman" pitchFamily="18" charset="0"/>
          <a:cs typeface="Times New Roman" pitchFamily="18" charset="0"/>
        </a:defRPr>
      </a:pPr>
      <a:endParaRPr lang="pt-BR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297</Words>
  <Characters>1607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 Sanches</dc:creator>
  <cp:lastModifiedBy>Alex Sanches</cp:lastModifiedBy>
  <cp:revision>1</cp:revision>
  <dcterms:created xsi:type="dcterms:W3CDTF">2017-06-04T18:21:00Z</dcterms:created>
  <dcterms:modified xsi:type="dcterms:W3CDTF">2017-06-04T18:23:00Z</dcterms:modified>
</cp:coreProperties>
</file>