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42B" w:rsidRPr="00F1042B" w:rsidRDefault="00F1042B" w:rsidP="00F1042B">
      <w:pPr>
        <w:suppressAutoHyphens/>
        <w:spacing w:after="0" w:line="240" w:lineRule="auto"/>
        <w:jc w:val="center"/>
        <w:rPr>
          <w:rFonts w:ascii="Times New Roman" w:hAnsi="Times New Roman" w:cs="Times New Roman"/>
          <w:b/>
          <w:sz w:val="24"/>
          <w:szCs w:val="24"/>
        </w:rPr>
      </w:pPr>
      <w:r w:rsidRPr="00F1042B">
        <w:rPr>
          <w:rFonts w:ascii="Times New Roman" w:hAnsi="Times New Roman" w:cs="Times New Roman"/>
          <w:b/>
          <w:sz w:val="24"/>
          <w:szCs w:val="24"/>
        </w:rPr>
        <w:t>As línguas de imigração na construção da paisagem linguística da Colônia Witmarsum (PR): uma ação político-linguística</w:t>
      </w:r>
    </w:p>
    <w:p w:rsidR="00F1042B" w:rsidRPr="00F1042B" w:rsidRDefault="00F1042B" w:rsidP="00F1042B">
      <w:pPr>
        <w:suppressAutoHyphens/>
        <w:spacing w:after="0" w:line="240" w:lineRule="auto"/>
        <w:jc w:val="center"/>
        <w:rPr>
          <w:rFonts w:ascii="Times New Roman" w:hAnsi="Times New Roman" w:cs="Times New Roman"/>
          <w:b/>
          <w:sz w:val="24"/>
          <w:szCs w:val="24"/>
        </w:rPr>
      </w:pPr>
      <w:r w:rsidRPr="00F1042B">
        <w:rPr>
          <w:rFonts w:ascii="Times New Roman" w:hAnsi="Times New Roman" w:cs="Times New Roman"/>
          <w:sz w:val="24"/>
          <w:szCs w:val="24"/>
        </w:rPr>
        <w:br/>
      </w:r>
      <w:r w:rsidRPr="00F1042B">
        <w:rPr>
          <w:rFonts w:ascii="Times New Roman" w:hAnsi="Times New Roman" w:cs="Times New Roman"/>
          <w:b/>
          <w:color w:val="202124"/>
          <w:sz w:val="24"/>
          <w:szCs w:val="24"/>
        </w:rPr>
        <w:t>Immigration languages ​​in the construction of the linguistic landscape of the Witmarsum Colony (PR): a political-linguistic action</w:t>
      </w:r>
    </w:p>
    <w:p w:rsidR="00F1042B" w:rsidRDefault="00F1042B" w:rsidP="00817D0D">
      <w:pPr>
        <w:spacing w:line="240" w:lineRule="auto"/>
        <w:jc w:val="both"/>
        <w:rPr>
          <w:rFonts w:ascii="Times New Roman" w:hAnsi="Times New Roman" w:cs="Times New Roman"/>
          <w:b/>
          <w:sz w:val="24"/>
          <w:szCs w:val="24"/>
        </w:rPr>
      </w:pPr>
    </w:p>
    <w:p w:rsidR="00B73A2A" w:rsidRDefault="00B73A2A" w:rsidP="00817D0D">
      <w:pPr>
        <w:spacing w:line="240" w:lineRule="auto"/>
        <w:jc w:val="both"/>
        <w:rPr>
          <w:rFonts w:ascii="Times New Roman" w:hAnsi="Times New Roman" w:cs="Times New Roman"/>
          <w:b/>
          <w:sz w:val="24"/>
          <w:szCs w:val="24"/>
        </w:rPr>
      </w:pPr>
    </w:p>
    <w:p w:rsidR="00CF1242" w:rsidRDefault="00CF1242" w:rsidP="00CF1242">
      <w:pPr>
        <w:spacing w:line="240" w:lineRule="auto"/>
        <w:jc w:val="both"/>
        <w:rPr>
          <w:rFonts w:ascii="Times New Roman" w:hAnsi="Times New Roman" w:cs="Times New Roman"/>
          <w:b/>
          <w:sz w:val="24"/>
          <w:szCs w:val="24"/>
        </w:rPr>
      </w:pPr>
      <w:r>
        <w:rPr>
          <w:rFonts w:ascii="Times New Roman" w:hAnsi="Times New Roman" w:cs="Times New Roman"/>
          <w:b/>
          <w:sz w:val="24"/>
          <w:szCs w:val="24"/>
        </w:rPr>
        <w:t>Resumo</w:t>
      </w:r>
    </w:p>
    <w:p w:rsidR="00650323" w:rsidRDefault="00BF78D7" w:rsidP="00650323">
      <w:pPr>
        <w:spacing w:after="0" w:line="240" w:lineRule="auto"/>
        <w:jc w:val="both"/>
        <w:rPr>
          <w:rFonts w:ascii="Times New Roman" w:hAnsi="Times New Roman" w:cs="Times New Roman"/>
          <w:sz w:val="24"/>
          <w:szCs w:val="24"/>
        </w:rPr>
      </w:pPr>
      <w:r>
        <w:rPr>
          <w:rFonts w:ascii="Times New Roman" w:hAnsi="Times New Roman"/>
          <w:sz w:val="24"/>
          <w:szCs w:val="24"/>
        </w:rPr>
        <w:t>O presente artigo tem o objetivo de apresentar uma análise da paisagem linguística</w:t>
      </w:r>
      <w:r>
        <w:rPr>
          <w:rFonts w:ascii="Times New Roman" w:hAnsi="Times New Roman" w:cs="Times New Roman"/>
          <w:sz w:val="24"/>
          <w:szCs w:val="24"/>
        </w:rPr>
        <w:t xml:space="preserve"> </w:t>
      </w:r>
      <w:r w:rsidR="00CF1242" w:rsidRPr="002C54A6">
        <w:rPr>
          <w:rFonts w:ascii="Times New Roman" w:hAnsi="Times New Roman" w:cs="Times New Roman"/>
          <w:sz w:val="24"/>
          <w:szCs w:val="24"/>
        </w:rPr>
        <w:t>d</w:t>
      </w:r>
      <w:r w:rsidR="00650323">
        <w:rPr>
          <w:rFonts w:ascii="Times New Roman" w:hAnsi="Times New Roman" w:cs="Times New Roman"/>
          <w:sz w:val="24"/>
          <w:szCs w:val="24"/>
        </w:rPr>
        <w:t>a C</w:t>
      </w:r>
      <w:r w:rsidR="00CF1242">
        <w:rPr>
          <w:rFonts w:ascii="Times New Roman" w:hAnsi="Times New Roman" w:cs="Times New Roman"/>
          <w:sz w:val="24"/>
          <w:szCs w:val="24"/>
        </w:rPr>
        <w:t>olônia Witmarsum (PR),</w:t>
      </w:r>
      <w:r w:rsidR="00CF1242" w:rsidRPr="002C54A6">
        <w:rPr>
          <w:rFonts w:ascii="Times New Roman" w:hAnsi="Times New Roman" w:cs="Times New Roman"/>
          <w:sz w:val="24"/>
          <w:szCs w:val="24"/>
        </w:rPr>
        <w:t xml:space="preserve"> considerada como um espaço de diversidade linguística e cultural, devido ao contato de três línguas: o Plautdietsch (dialeto alemão), o Hochdeutsch (alemão </w:t>
      </w:r>
      <w:r w:rsidR="00CF1242" w:rsidRPr="002C54A6">
        <w:rPr>
          <w:rFonts w:ascii="Times New Roman" w:hAnsi="Times New Roman" w:cs="Times New Roman"/>
          <w:i/>
          <w:sz w:val="24"/>
          <w:szCs w:val="24"/>
        </w:rPr>
        <w:t>standart</w:t>
      </w:r>
      <w:r w:rsidR="00CF1242">
        <w:rPr>
          <w:rFonts w:ascii="Times New Roman" w:hAnsi="Times New Roman" w:cs="Times New Roman"/>
          <w:sz w:val="24"/>
          <w:szCs w:val="24"/>
        </w:rPr>
        <w:t xml:space="preserve">) e o Português. </w:t>
      </w:r>
      <w:r w:rsidR="00CF1242" w:rsidRPr="002C54A6">
        <w:rPr>
          <w:rFonts w:ascii="Times New Roman" w:hAnsi="Times New Roman" w:cs="Times New Roman"/>
          <w:sz w:val="24"/>
          <w:szCs w:val="24"/>
        </w:rPr>
        <w:t>Para permitir alcançar os objetivos propostos por este estudo foi desenvolvida uma pesquisa de campo, interdisciplinar e qualitativa</w:t>
      </w:r>
      <w:r w:rsidR="00CF1242">
        <w:rPr>
          <w:rFonts w:ascii="Times New Roman" w:hAnsi="Times New Roman" w:cs="Times New Roman"/>
          <w:sz w:val="24"/>
          <w:szCs w:val="24"/>
        </w:rPr>
        <w:t>, com um viés quantitativo.</w:t>
      </w:r>
      <w:r w:rsidR="00650323" w:rsidRPr="00650323">
        <w:rPr>
          <w:rFonts w:ascii="Times New Roman" w:eastAsia="Times New Roman" w:hAnsi="Times New Roman" w:cs="Times New Roman"/>
          <w:color w:val="000000"/>
          <w:sz w:val="24"/>
          <w:szCs w:val="24"/>
          <w:lang w:eastAsia="pt-BR"/>
        </w:rPr>
        <w:t xml:space="preserve"> </w:t>
      </w:r>
      <w:r w:rsidR="00650323">
        <w:rPr>
          <w:rFonts w:ascii="Times New Roman" w:eastAsia="Times New Roman" w:hAnsi="Times New Roman" w:cs="Times New Roman"/>
          <w:color w:val="000000"/>
          <w:sz w:val="24"/>
          <w:szCs w:val="24"/>
          <w:lang w:eastAsia="pt-BR"/>
        </w:rPr>
        <w:t xml:space="preserve">O </w:t>
      </w:r>
      <w:r w:rsidR="00650323" w:rsidRPr="00881434">
        <w:rPr>
          <w:rFonts w:ascii="Times New Roman" w:eastAsia="Times New Roman" w:hAnsi="Times New Roman" w:cs="Times New Roman"/>
          <w:i/>
          <w:color w:val="000000"/>
          <w:sz w:val="24"/>
          <w:szCs w:val="24"/>
          <w:lang w:eastAsia="pt-BR"/>
        </w:rPr>
        <w:t>corpus</w:t>
      </w:r>
      <w:r w:rsidR="00650323">
        <w:rPr>
          <w:rFonts w:ascii="Times New Roman" w:eastAsia="Times New Roman" w:hAnsi="Times New Roman" w:cs="Times New Roman"/>
          <w:color w:val="000000"/>
          <w:sz w:val="24"/>
          <w:szCs w:val="24"/>
          <w:lang w:eastAsia="pt-BR"/>
        </w:rPr>
        <w:t xml:space="preserve"> foi coletado por meio de registro fotográfico e as unidades contribuíram para a análise da articulação, visibilidade e vitalidade das línguas na representação dos espaços públicos do local. </w:t>
      </w:r>
    </w:p>
    <w:p w:rsidR="00857098" w:rsidRPr="00857098" w:rsidRDefault="00857098" w:rsidP="00857098">
      <w:pPr>
        <w:suppressAutoHyphens/>
        <w:spacing w:after="0" w:line="240" w:lineRule="auto"/>
        <w:jc w:val="both"/>
        <w:rPr>
          <w:rFonts w:ascii="Garamond" w:hAnsi="Garamond" w:cs="Times New Roman"/>
          <w:sz w:val="24"/>
          <w:szCs w:val="24"/>
        </w:rPr>
      </w:pPr>
    </w:p>
    <w:p w:rsidR="00F1042B" w:rsidRDefault="00F1042B" w:rsidP="00817D0D">
      <w:pPr>
        <w:spacing w:line="240" w:lineRule="auto"/>
        <w:jc w:val="both"/>
        <w:rPr>
          <w:rFonts w:ascii="Times New Roman" w:hAnsi="Times New Roman" w:cs="Times New Roman"/>
          <w:sz w:val="24"/>
          <w:szCs w:val="24"/>
        </w:rPr>
      </w:pPr>
      <w:r>
        <w:rPr>
          <w:rFonts w:ascii="Times New Roman" w:hAnsi="Times New Roman" w:cs="Times New Roman"/>
          <w:b/>
          <w:sz w:val="24"/>
          <w:szCs w:val="24"/>
        </w:rPr>
        <w:t>Palavras-chave:</w:t>
      </w:r>
      <w:r w:rsidR="00857098">
        <w:rPr>
          <w:rFonts w:ascii="Times New Roman" w:hAnsi="Times New Roman" w:cs="Times New Roman"/>
          <w:b/>
          <w:sz w:val="24"/>
          <w:szCs w:val="24"/>
        </w:rPr>
        <w:t xml:space="preserve"> </w:t>
      </w:r>
      <w:r w:rsidR="00857098" w:rsidRPr="00857098">
        <w:rPr>
          <w:rFonts w:ascii="Times New Roman" w:hAnsi="Times New Roman" w:cs="Times New Roman"/>
          <w:sz w:val="24"/>
          <w:szCs w:val="24"/>
        </w:rPr>
        <w:t>Multilinguismo; Paisagem Linguística; Línguas de imigração.</w:t>
      </w:r>
    </w:p>
    <w:p w:rsidR="00650323" w:rsidRPr="00BF78D7" w:rsidRDefault="00650323" w:rsidP="00BF78D7">
      <w:pPr>
        <w:spacing w:line="240" w:lineRule="auto"/>
        <w:jc w:val="both"/>
        <w:rPr>
          <w:rFonts w:ascii="Times New Roman" w:hAnsi="Times New Roman" w:cs="Times New Roman"/>
          <w:b/>
          <w:sz w:val="24"/>
          <w:szCs w:val="24"/>
        </w:rPr>
      </w:pPr>
    </w:p>
    <w:p w:rsidR="00857098" w:rsidRPr="00BF78D7" w:rsidRDefault="00857098" w:rsidP="00BF78D7">
      <w:pPr>
        <w:spacing w:line="240" w:lineRule="auto"/>
        <w:jc w:val="both"/>
        <w:rPr>
          <w:rFonts w:ascii="Times New Roman" w:hAnsi="Times New Roman" w:cs="Times New Roman"/>
          <w:b/>
          <w:sz w:val="24"/>
          <w:szCs w:val="24"/>
        </w:rPr>
      </w:pPr>
      <w:r w:rsidRPr="00BF78D7">
        <w:rPr>
          <w:rFonts w:ascii="Times New Roman" w:hAnsi="Times New Roman" w:cs="Times New Roman"/>
          <w:b/>
          <w:sz w:val="24"/>
          <w:szCs w:val="24"/>
        </w:rPr>
        <w:t>Abstract</w:t>
      </w:r>
    </w:p>
    <w:p w:rsidR="00BF78D7" w:rsidRPr="00BF78D7" w:rsidRDefault="00BF78D7" w:rsidP="00BF7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sz w:val="24"/>
          <w:szCs w:val="24"/>
          <w:lang w:eastAsia="pt-BR"/>
        </w:rPr>
      </w:pPr>
      <w:r w:rsidRPr="00BF78D7">
        <w:rPr>
          <w:rFonts w:ascii="inherit" w:eastAsia="Times New Roman" w:hAnsi="inherit" w:cs="Courier New"/>
          <w:sz w:val="24"/>
          <w:szCs w:val="24"/>
          <w:lang w:val="en" w:eastAsia="pt-BR"/>
        </w:rPr>
        <w:t>This article aims to present an analysis of the linguistic landscape of Colonia Witmarsum (PR), considered a space of linguistic and cultural diversity, due to the contact of three languages: Plautdietsch (German dialect), Hochdeutsch (standard German) is the Portuguese. In order to achieve the objectives proposed by this study, an interdisciplinary and qualitative field research was developed, with a quantitative bias. The corpus was collected through photographic records and the units contributed to the analysis of the articulation, visibility and vitality of languages ​​in the representation of the public spaces of the place.</w:t>
      </w:r>
    </w:p>
    <w:p w:rsidR="00D5567C" w:rsidRPr="00CC4D4A" w:rsidRDefault="00CC4D4A" w:rsidP="00CC4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pt-BR"/>
        </w:rPr>
      </w:pPr>
      <w:r w:rsidRPr="00CC4D4A">
        <w:rPr>
          <w:rFonts w:ascii="Times New Roman" w:eastAsia="Times New Roman" w:hAnsi="Times New Roman" w:cs="Times New Roman"/>
          <w:b/>
          <w:color w:val="202124"/>
          <w:sz w:val="24"/>
          <w:szCs w:val="24"/>
          <w:lang w:val="en" w:eastAsia="pt-BR"/>
        </w:rPr>
        <w:t>Keywords</w:t>
      </w:r>
      <w:r w:rsidRPr="00CC4D4A">
        <w:rPr>
          <w:rFonts w:ascii="Times New Roman" w:eastAsia="Times New Roman" w:hAnsi="Times New Roman" w:cs="Times New Roman"/>
          <w:color w:val="202124"/>
          <w:sz w:val="24"/>
          <w:szCs w:val="24"/>
          <w:lang w:val="en" w:eastAsia="pt-BR"/>
        </w:rPr>
        <w:t>: Multilingualism; Linguistic Landscape; Immigration languages.</w:t>
      </w:r>
    </w:p>
    <w:p w:rsidR="00E80A33" w:rsidRDefault="00E80A33" w:rsidP="00817D0D">
      <w:pPr>
        <w:spacing w:line="240" w:lineRule="auto"/>
        <w:jc w:val="both"/>
        <w:rPr>
          <w:rFonts w:ascii="Times New Roman" w:hAnsi="Times New Roman" w:cs="Times New Roman"/>
          <w:b/>
          <w:sz w:val="24"/>
          <w:szCs w:val="24"/>
        </w:rPr>
      </w:pPr>
    </w:p>
    <w:p w:rsidR="00B2298A" w:rsidRPr="00BB3672" w:rsidRDefault="002440F6" w:rsidP="00817D0D">
      <w:pPr>
        <w:spacing w:line="240" w:lineRule="auto"/>
        <w:jc w:val="both"/>
        <w:rPr>
          <w:rFonts w:ascii="Times New Roman" w:hAnsi="Times New Roman" w:cs="Times New Roman"/>
          <w:b/>
          <w:sz w:val="24"/>
          <w:szCs w:val="24"/>
        </w:rPr>
      </w:pPr>
      <w:r w:rsidRPr="00BB3672">
        <w:rPr>
          <w:rFonts w:ascii="Times New Roman" w:hAnsi="Times New Roman" w:cs="Times New Roman"/>
          <w:b/>
          <w:sz w:val="24"/>
          <w:szCs w:val="24"/>
        </w:rPr>
        <w:t>Introdução</w:t>
      </w:r>
    </w:p>
    <w:p w:rsidR="00B73A2A" w:rsidRDefault="002440F6" w:rsidP="00F1042B">
      <w:pPr>
        <w:spacing w:after="0" w:line="240" w:lineRule="auto"/>
        <w:ind w:firstLine="708"/>
        <w:jc w:val="both"/>
        <w:rPr>
          <w:rFonts w:ascii="Times New Roman" w:hAnsi="Times New Roman" w:cs="Times New Roman"/>
          <w:sz w:val="24"/>
          <w:szCs w:val="24"/>
        </w:rPr>
      </w:pPr>
      <w:r w:rsidRPr="002440F6">
        <w:rPr>
          <w:rFonts w:ascii="Times New Roman" w:eastAsia="Times New Roman" w:hAnsi="Times New Roman" w:cs="Times New Roman"/>
          <w:bCs/>
          <w:kern w:val="36"/>
          <w:sz w:val="24"/>
          <w:szCs w:val="24"/>
          <w:lang w:eastAsia="pt-BR"/>
        </w:rPr>
        <w:t xml:space="preserve">Historicamente o nosso país traz consigo a ideia do monolinguismo, desde a colonização e o processo de construção de um Estado-nação </w:t>
      </w:r>
      <w:r>
        <w:rPr>
          <w:rFonts w:ascii="Times New Roman" w:eastAsia="Times New Roman" w:hAnsi="Times New Roman" w:cs="Times New Roman"/>
          <w:bCs/>
          <w:kern w:val="36"/>
          <w:sz w:val="24"/>
          <w:szCs w:val="24"/>
          <w:lang w:eastAsia="pt-BR"/>
        </w:rPr>
        <w:t xml:space="preserve">centenas de línguas indígenas foram suprimidas e silenciadas </w:t>
      </w:r>
      <w:r w:rsidRPr="002440F6">
        <w:rPr>
          <w:rFonts w:ascii="Times New Roman" w:eastAsia="Times New Roman" w:hAnsi="Times New Roman" w:cs="Times New Roman"/>
          <w:bCs/>
          <w:kern w:val="36"/>
          <w:sz w:val="24"/>
          <w:szCs w:val="24"/>
          <w:lang w:eastAsia="pt-BR"/>
        </w:rPr>
        <w:t xml:space="preserve">com a institucionalização do português como língua oficial, </w:t>
      </w:r>
      <w:r>
        <w:rPr>
          <w:rFonts w:ascii="Times New Roman" w:eastAsia="Times New Roman" w:hAnsi="Times New Roman" w:cs="Times New Roman"/>
          <w:bCs/>
          <w:kern w:val="36"/>
          <w:sz w:val="24"/>
          <w:szCs w:val="24"/>
          <w:lang w:eastAsia="pt-BR"/>
        </w:rPr>
        <w:t>resultando n</w:t>
      </w:r>
      <w:r w:rsidRPr="002440F6">
        <w:rPr>
          <w:rFonts w:ascii="Times New Roman" w:eastAsia="Times New Roman" w:hAnsi="Times New Roman" w:cs="Times New Roman"/>
          <w:bCs/>
          <w:kern w:val="36"/>
          <w:sz w:val="24"/>
          <w:szCs w:val="24"/>
          <w:lang w:eastAsia="pt-BR"/>
        </w:rPr>
        <w:t>a imagem</w:t>
      </w:r>
      <w:r>
        <w:rPr>
          <w:rFonts w:ascii="Times New Roman" w:eastAsia="Times New Roman" w:hAnsi="Times New Roman" w:cs="Times New Roman"/>
          <w:bCs/>
          <w:kern w:val="36"/>
          <w:sz w:val="24"/>
          <w:szCs w:val="24"/>
          <w:lang w:eastAsia="pt-BR"/>
        </w:rPr>
        <w:t xml:space="preserve"> de</w:t>
      </w:r>
      <w:r w:rsidRPr="002440F6">
        <w:rPr>
          <w:rFonts w:ascii="Times New Roman" w:eastAsia="Times New Roman" w:hAnsi="Times New Roman" w:cs="Times New Roman"/>
          <w:bCs/>
          <w:kern w:val="36"/>
          <w:sz w:val="24"/>
          <w:szCs w:val="24"/>
          <w:lang w:eastAsia="pt-BR"/>
        </w:rPr>
        <w:t xml:space="preserve"> que não há diversidade linguística. </w:t>
      </w:r>
      <w:r w:rsidRPr="002440F6">
        <w:rPr>
          <w:rFonts w:ascii="Times New Roman" w:hAnsi="Times New Roman" w:cs="Times New Roman"/>
          <w:sz w:val="24"/>
          <w:szCs w:val="24"/>
        </w:rPr>
        <w:t>No entanto,</w:t>
      </w:r>
      <w:r>
        <w:rPr>
          <w:rFonts w:ascii="Times New Roman" w:hAnsi="Times New Roman" w:cs="Times New Roman"/>
          <w:sz w:val="24"/>
          <w:szCs w:val="24"/>
        </w:rPr>
        <w:t xml:space="preserve"> sabemos que</w:t>
      </w:r>
      <w:r w:rsidRPr="002440F6">
        <w:rPr>
          <w:rFonts w:ascii="Times New Roman" w:hAnsi="Times New Roman" w:cs="Times New Roman"/>
          <w:sz w:val="24"/>
          <w:szCs w:val="24"/>
        </w:rPr>
        <w:t xml:space="preserve"> as </w:t>
      </w:r>
      <w:r w:rsidR="00817D0D">
        <w:rPr>
          <w:rFonts w:ascii="Times New Roman" w:hAnsi="Times New Roman" w:cs="Times New Roman"/>
          <w:sz w:val="24"/>
          <w:szCs w:val="24"/>
        </w:rPr>
        <w:t>práticas de linguagem n</w:t>
      </w:r>
      <w:r w:rsidRPr="002440F6">
        <w:rPr>
          <w:rFonts w:ascii="Times New Roman" w:hAnsi="Times New Roman" w:cs="Times New Roman"/>
          <w:sz w:val="24"/>
          <w:szCs w:val="24"/>
        </w:rPr>
        <w:t>o Brasil estendem-se de norte a sul, compreendendo, de acordo com Oliveira (2003), cerca de 222 línguas, sendo 180 indígenas, 40 de imigração e duas de sinais (LIBRAS – Língua Brasileira de Sinais e a Língua de Sinais Kaapor Brasileira</w:t>
      </w:r>
      <w:r w:rsidRPr="00817D0D">
        <w:rPr>
          <w:rFonts w:ascii="Times New Roman" w:hAnsi="Times New Roman" w:cs="Times New Roman"/>
          <w:sz w:val="24"/>
          <w:szCs w:val="24"/>
        </w:rPr>
        <w:t>).</w:t>
      </w:r>
    </w:p>
    <w:p w:rsidR="00817D0D" w:rsidRDefault="00BB3672" w:rsidP="00E80A3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Posto</w:t>
      </w:r>
      <w:r w:rsidR="00817D0D">
        <w:rPr>
          <w:rFonts w:ascii="Times New Roman" w:hAnsi="Times New Roman" w:cs="Times New Roman"/>
          <w:sz w:val="24"/>
          <w:szCs w:val="24"/>
        </w:rPr>
        <w:t xml:space="preserve"> isso, “n</w:t>
      </w:r>
      <w:r w:rsidR="00817D0D" w:rsidRPr="00817D0D">
        <w:rPr>
          <w:rFonts w:ascii="Times New Roman" w:hAnsi="Times New Roman" w:cs="Times New Roman"/>
          <w:sz w:val="24"/>
          <w:szCs w:val="24"/>
        </w:rPr>
        <w:t xml:space="preserve">as duas últimas décadas, [...] o panorama das reivindicações dos movimentos sociais, a diversificação de suas pautas, o crescimento das questões étnicas, regionais, de fronteira, culturais, tornaram-se muito mais visíveis </w:t>
      </w:r>
      <w:r w:rsidR="00F1042B">
        <w:rPr>
          <w:rFonts w:ascii="Times New Roman" w:hAnsi="Times New Roman" w:cs="Times New Roman"/>
          <w:sz w:val="24"/>
          <w:szCs w:val="24"/>
        </w:rPr>
        <w:t>[...] (OLIVEIRA, 2007, p. 8). E</w:t>
      </w:r>
      <w:r w:rsidR="00E80A33">
        <w:rPr>
          <w:rFonts w:ascii="Times New Roman" w:hAnsi="Times New Roman" w:cs="Times New Roman"/>
          <w:sz w:val="24"/>
          <w:szCs w:val="24"/>
        </w:rPr>
        <w:t xml:space="preserve"> e</w:t>
      </w:r>
      <w:r w:rsidR="00F1042B">
        <w:rPr>
          <w:rFonts w:ascii="Times New Roman" w:hAnsi="Times New Roman" w:cs="Times New Roman"/>
          <w:sz w:val="24"/>
          <w:szCs w:val="24"/>
        </w:rPr>
        <w:t>ssa mobilização contribuiu</w:t>
      </w:r>
      <w:r w:rsidR="00817D0D" w:rsidRPr="002C54A6">
        <w:rPr>
          <w:rFonts w:ascii="Times New Roman" w:hAnsi="Times New Roman" w:cs="Times New Roman"/>
          <w:sz w:val="24"/>
          <w:szCs w:val="24"/>
        </w:rPr>
        <w:t xml:space="preserve"> para despertar posições e tomadas de decisões acerca das políticas linguísticas do país e das regiões que dividem práticas de linguagem em um contexto m</w:t>
      </w:r>
      <w:r w:rsidR="00F1042B">
        <w:rPr>
          <w:rFonts w:ascii="Times New Roman" w:hAnsi="Times New Roman" w:cs="Times New Roman"/>
          <w:sz w:val="24"/>
          <w:szCs w:val="24"/>
        </w:rPr>
        <w:t>ultilíngue</w:t>
      </w:r>
      <w:r w:rsidR="00D5567C">
        <w:rPr>
          <w:rFonts w:ascii="Times New Roman" w:hAnsi="Times New Roman" w:cs="Times New Roman"/>
          <w:sz w:val="24"/>
          <w:szCs w:val="24"/>
        </w:rPr>
        <w:t>,</w:t>
      </w:r>
      <w:r w:rsidR="00F1042B">
        <w:rPr>
          <w:rFonts w:ascii="Times New Roman" w:hAnsi="Times New Roman" w:cs="Times New Roman"/>
          <w:sz w:val="24"/>
          <w:szCs w:val="24"/>
        </w:rPr>
        <w:t xml:space="preserve"> </w:t>
      </w:r>
      <w:r w:rsidR="00E80A33">
        <w:rPr>
          <w:rFonts w:ascii="Times New Roman" w:hAnsi="Times New Roman" w:cs="Times New Roman"/>
          <w:sz w:val="24"/>
          <w:szCs w:val="24"/>
        </w:rPr>
        <w:t>sendo qu</w:t>
      </w:r>
      <w:r w:rsidR="00F1042B">
        <w:rPr>
          <w:rFonts w:ascii="Times New Roman" w:hAnsi="Times New Roman" w:cs="Times New Roman"/>
          <w:sz w:val="24"/>
          <w:szCs w:val="24"/>
        </w:rPr>
        <w:t>e</w:t>
      </w:r>
      <w:r w:rsidR="00817D0D" w:rsidRPr="002C54A6">
        <w:rPr>
          <w:rFonts w:ascii="Times New Roman" w:hAnsi="Times New Roman" w:cs="Times New Roman"/>
          <w:sz w:val="24"/>
          <w:szCs w:val="24"/>
        </w:rPr>
        <w:t xml:space="preserve"> os rumos das línguas “esquecidas” pela sociedade </w:t>
      </w:r>
      <w:r w:rsidR="00817D0D" w:rsidRPr="002C54A6">
        <w:rPr>
          <w:rFonts w:ascii="Times New Roman" w:hAnsi="Times New Roman" w:cs="Times New Roman"/>
          <w:sz w:val="24"/>
          <w:szCs w:val="24"/>
        </w:rPr>
        <w:lastRenderedPageBreak/>
        <w:t>tomaram direções mais abrangentes, tudo isso, devido às políticas linguísticas e ao seu planejamento</w:t>
      </w:r>
      <w:r w:rsidR="00D5567C">
        <w:rPr>
          <w:rFonts w:ascii="Times New Roman" w:hAnsi="Times New Roman" w:cs="Times New Roman"/>
          <w:sz w:val="24"/>
          <w:szCs w:val="24"/>
        </w:rPr>
        <w:t xml:space="preserve"> (</w:t>
      </w:r>
      <w:r w:rsidR="00E80A33">
        <w:rPr>
          <w:rFonts w:ascii="Times New Roman" w:hAnsi="Times New Roman" w:cs="Times New Roman"/>
          <w:sz w:val="24"/>
          <w:szCs w:val="24"/>
        </w:rPr>
        <w:t>CALVET</w:t>
      </w:r>
      <w:r w:rsidR="00D5567C">
        <w:rPr>
          <w:rFonts w:ascii="Times New Roman" w:hAnsi="Times New Roman" w:cs="Times New Roman"/>
          <w:sz w:val="24"/>
          <w:szCs w:val="24"/>
        </w:rPr>
        <w:t>, 2007)</w:t>
      </w:r>
      <w:r w:rsidR="00817D0D" w:rsidRPr="002C54A6">
        <w:rPr>
          <w:rFonts w:ascii="Times New Roman" w:hAnsi="Times New Roman" w:cs="Times New Roman"/>
          <w:sz w:val="24"/>
          <w:szCs w:val="24"/>
        </w:rPr>
        <w:t xml:space="preserve">. Embora, historicamente, o mito do monolinguismo esteja enraizado no pensamento cultural, político e social do povo brasileiro, sabemos o quão multilíngue é. </w:t>
      </w:r>
    </w:p>
    <w:p w:rsidR="00D5567C" w:rsidRPr="002C54A6" w:rsidRDefault="00D5567C" w:rsidP="00D5567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Partindo desse pressuposto</w:t>
      </w:r>
      <w:r w:rsidRPr="002C54A6">
        <w:rPr>
          <w:rFonts w:ascii="Times New Roman" w:hAnsi="Times New Roman" w:cs="Times New Roman"/>
          <w:sz w:val="24"/>
          <w:szCs w:val="24"/>
        </w:rPr>
        <w:t xml:space="preserve"> e ancorados em estudos de Cenoz &amp; Gorter (2006, p. 68, tradução nossa), os quais afirmam que “O estudo da paisagem linguística é particularmente interessante em contextos bilíngues e multilíngues, a paisagem linguística pode fornecer informações sobre o contexto sociolinguístico e o uso das diferentes línguas em signos linguísticos [...]</w:t>
      </w:r>
      <w:r w:rsidRPr="002C54A6">
        <w:rPr>
          <w:rFonts w:ascii="Times New Roman" w:hAnsi="Times New Roman" w:cs="Times New Roman"/>
          <w:sz w:val="24"/>
          <w:szCs w:val="24"/>
          <w:vertAlign w:val="superscript"/>
        </w:rPr>
        <w:footnoteReference w:id="1"/>
      </w:r>
      <w:r>
        <w:rPr>
          <w:rFonts w:ascii="Times New Roman" w:hAnsi="Times New Roman" w:cs="Times New Roman"/>
          <w:sz w:val="24"/>
          <w:szCs w:val="24"/>
        </w:rPr>
        <w:t>, buscamos sob essa abordagem analisar a representação e a materialização l</w:t>
      </w:r>
      <w:r w:rsidR="00487A02">
        <w:rPr>
          <w:rFonts w:ascii="Times New Roman" w:hAnsi="Times New Roman" w:cs="Times New Roman"/>
          <w:sz w:val="24"/>
          <w:szCs w:val="24"/>
        </w:rPr>
        <w:t xml:space="preserve">inguística nos espaços públicos </w:t>
      </w:r>
      <w:r>
        <w:rPr>
          <w:rFonts w:ascii="Times New Roman" w:hAnsi="Times New Roman" w:cs="Times New Roman"/>
          <w:sz w:val="24"/>
          <w:szCs w:val="24"/>
        </w:rPr>
        <w:t>como uma ação político-linguística.</w:t>
      </w:r>
    </w:p>
    <w:p w:rsidR="00374FCC" w:rsidRDefault="00BB3672" w:rsidP="00CB1CD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presente pesquisa visa </w:t>
      </w:r>
      <w:r w:rsidR="00374FCC" w:rsidRPr="002C54A6">
        <w:rPr>
          <w:rFonts w:ascii="Times New Roman" w:hAnsi="Times New Roman" w:cs="Times New Roman"/>
          <w:sz w:val="24"/>
          <w:szCs w:val="24"/>
        </w:rPr>
        <w:t xml:space="preserve">compreender como o contexto multilíngue influencia </w:t>
      </w:r>
      <w:r w:rsidR="00374FCC">
        <w:rPr>
          <w:rFonts w:ascii="Times New Roman" w:hAnsi="Times New Roman" w:cs="Times New Roman"/>
          <w:sz w:val="24"/>
          <w:szCs w:val="24"/>
        </w:rPr>
        <w:t xml:space="preserve">a visibilidade </w:t>
      </w:r>
      <w:r>
        <w:rPr>
          <w:rFonts w:ascii="Times New Roman" w:hAnsi="Times New Roman" w:cs="Times New Roman"/>
          <w:sz w:val="24"/>
          <w:szCs w:val="24"/>
        </w:rPr>
        <w:t xml:space="preserve">e a vitalidade </w:t>
      </w:r>
      <w:r w:rsidR="00374FCC">
        <w:rPr>
          <w:rFonts w:ascii="Times New Roman" w:hAnsi="Times New Roman" w:cs="Times New Roman"/>
          <w:sz w:val="24"/>
          <w:szCs w:val="24"/>
        </w:rPr>
        <w:t>das línguas de imigração n</w:t>
      </w:r>
      <w:r w:rsidR="00374FCC" w:rsidRPr="002C54A6">
        <w:rPr>
          <w:rFonts w:ascii="Times New Roman" w:hAnsi="Times New Roman" w:cs="Times New Roman"/>
          <w:sz w:val="24"/>
          <w:szCs w:val="24"/>
        </w:rPr>
        <w:t>a paisagem linguística d</w:t>
      </w:r>
      <w:r w:rsidR="00E80A33">
        <w:rPr>
          <w:rFonts w:ascii="Times New Roman" w:hAnsi="Times New Roman" w:cs="Times New Roman"/>
          <w:sz w:val="24"/>
          <w:szCs w:val="24"/>
        </w:rPr>
        <w:t>a colônia Witmarsum (PR),</w:t>
      </w:r>
      <w:r w:rsidR="00374FCC" w:rsidRPr="002C54A6">
        <w:rPr>
          <w:rFonts w:ascii="Times New Roman" w:hAnsi="Times New Roman" w:cs="Times New Roman"/>
          <w:sz w:val="24"/>
          <w:szCs w:val="24"/>
        </w:rPr>
        <w:t xml:space="preserve"> considerada como um espaço de diversidade linguística e cultural, devido ao contato de três línguas: o Plautdietsch</w:t>
      </w:r>
      <w:r w:rsidR="00C11655">
        <w:rPr>
          <w:rStyle w:val="Refdenotaderodap"/>
          <w:rFonts w:ascii="Times New Roman" w:hAnsi="Times New Roman" w:cs="Times New Roman"/>
          <w:sz w:val="24"/>
          <w:szCs w:val="24"/>
        </w:rPr>
        <w:footnoteReference w:id="2"/>
      </w:r>
      <w:r w:rsidR="00374FCC" w:rsidRPr="002C54A6">
        <w:rPr>
          <w:rFonts w:ascii="Times New Roman" w:hAnsi="Times New Roman" w:cs="Times New Roman"/>
          <w:sz w:val="24"/>
          <w:szCs w:val="24"/>
        </w:rPr>
        <w:t xml:space="preserve"> (dialeto alemão), o Hochdeutsch (alemão </w:t>
      </w:r>
      <w:r w:rsidR="00374FCC" w:rsidRPr="002C54A6">
        <w:rPr>
          <w:rFonts w:ascii="Times New Roman" w:hAnsi="Times New Roman" w:cs="Times New Roman"/>
          <w:i/>
          <w:sz w:val="24"/>
          <w:szCs w:val="24"/>
        </w:rPr>
        <w:t>standart</w:t>
      </w:r>
      <w:r w:rsidR="00374FCC">
        <w:rPr>
          <w:rFonts w:ascii="Times New Roman" w:hAnsi="Times New Roman" w:cs="Times New Roman"/>
          <w:sz w:val="24"/>
          <w:szCs w:val="24"/>
        </w:rPr>
        <w:t xml:space="preserve">) e o Português. </w:t>
      </w:r>
    </w:p>
    <w:p w:rsidR="00374FCC" w:rsidRDefault="00551585" w:rsidP="00CB1CD5">
      <w:pPr>
        <w:spacing w:after="0" w:line="240" w:lineRule="auto"/>
        <w:ind w:firstLine="708"/>
        <w:jc w:val="both"/>
        <w:rPr>
          <w:rFonts w:ascii="Times New Roman" w:hAnsi="Times New Roman" w:cs="Times New Roman"/>
          <w:sz w:val="24"/>
          <w:szCs w:val="24"/>
        </w:rPr>
      </w:pPr>
      <w:r w:rsidRPr="002C54A6">
        <w:rPr>
          <w:rFonts w:ascii="Times New Roman" w:hAnsi="Times New Roman" w:cs="Times New Roman"/>
          <w:sz w:val="24"/>
          <w:szCs w:val="24"/>
        </w:rPr>
        <w:t>Para permitir alcançar os objetivos propostos por este estudo foi desenvolvida uma pesquisa de campo, interdisciplinar e qualitativa</w:t>
      </w:r>
      <w:r w:rsidR="004B0790">
        <w:rPr>
          <w:rFonts w:ascii="Times New Roman" w:hAnsi="Times New Roman" w:cs="Times New Roman"/>
          <w:sz w:val="24"/>
          <w:szCs w:val="24"/>
        </w:rPr>
        <w:t>, com um viés quantitativo</w:t>
      </w:r>
      <w:r>
        <w:rPr>
          <w:rFonts w:ascii="Times New Roman" w:hAnsi="Times New Roman" w:cs="Times New Roman"/>
          <w:sz w:val="24"/>
          <w:szCs w:val="24"/>
        </w:rPr>
        <w:t xml:space="preserve">. </w:t>
      </w:r>
      <w:r w:rsidR="00857098" w:rsidRPr="002C54A6">
        <w:rPr>
          <w:rFonts w:ascii="Times New Roman" w:eastAsia="Times New Roman" w:hAnsi="Times New Roman" w:cs="Times New Roman"/>
          <w:color w:val="000000"/>
          <w:sz w:val="24"/>
          <w:szCs w:val="24"/>
          <w:lang w:eastAsia="pt-BR"/>
        </w:rPr>
        <w:t>Portanto, seguindo os pressupostos elencados por Leeman &amp; Modan (2010) ao delimitar o recorte da pesquisa em locais onde há maior incidência de manifestações materiais de linguagem, consideramos a Avenida Presidente Ernesto Geisel</w:t>
      </w:r>
      <w:r w:rsidR="00E80A33">
        <w:rPr>
          <w:rFonts w:ascii="Times New Roman" w:eastAsia="Times New Roman" w:hAnsi="Times New Roman" w:cs="Times New Roman"/>
          <w:color w:val="000000"/>
          <w:sz w:val="24"/>
          <w:szCs w:val="24"/>
          <w:lang w:eastAsia="pt-BR"/>
        </w:rPr>
        <w:t>,</w:t>
      </w:r>
      <w:r w:rsidR="00857098" w:rsidRPr="002C54A6">
        <w:rPr>
          <w:rFonts w:ascii="Times New Roman" w:eastAsia="Times New Roman" w:hAnsi="Times New Roman" w:cs="Times New Roman"/>
          <w:color w:val="000000"/>
          <w:sz w:val="24"/>
          <w:szCs w:val="24"/>
          <w:lang w:eastAsia="pt-BR"/>
        </w:rPr>
        <w:t xml:space="preserve"> sendo a principal e a mais extensa do local, que se situa no centro da colônia e concentra a maioria dos comércios (restaurantes, confeitarias, cafés e</w:t>
      </w:r>
      <w:r w:rsidR="004B0790">
        <w:rPr>
          <w:rFonts w:ascii="Times New Roman" w:eastAsia="Times New Roman" w:hAnsi="Times New Roman" w:cs="Times New Roman"/>
          <w:color w:val="000000"/>
          <w:sz w:val="24"/>
          <w:szCs w:val="24"/>
          <w:lang w:eastAsia="pt-BR"/>
        </w:rPr>
        <w:t xml:space="preserve"> lojas de artesanato)</w:t>
      </w:r>
      <w:r w:rsidR="00857098" w:rsidRPr="002C54A6">
        <w:rPr>
          <w:rFonts w:ascii="Times New Roman" w:eastAsia="Times New Roman" w:hAnsi="Times New Roman" w:cs="Times New Roman"/>
          <w:color w:val="000000"/>
          <w:sz w:val="24"/>
          <w:szCs w:val="24"/>
          <w:lang w:eastAsia="pt-BR"/>
        </w:rPr>
        <w:t>.</w:t>
      </w:r>
      <w:r w:rsidR="00881434">
        <w:rPr>
          <w:rFonts w:ascii="Times New Roman" w:eastAsia="Times New Roman" w:hAnsi="Times New Roman" w:cs="Times New Roman"/>
          <w:color w:val="000000"/>
          <w:sz w:val="24"/>
          <w:szCs w:val="24"/>
          <w:lang w:eastAsia="pt-BR"/>
        </w:rPr>
        <w:t xml:space="preserve"> Sendo assim, após </w:t>
      </w:r>
      <w:r w:rsidR="00E21206">
        <w:rPr>
          <w:rFonts w:ascii="Times New Roman" w:eastAsia="Times New Roman" w:hAnsi="Times New Roman" w:cs="Times New Roman"/>
          <w:color w:val="000000"/>
          <w:sz w:val="24"/>
          <w:szCs w:val="24"/>
          <w:lang w:eastAsia="pt-BR"/>
        </w:rPr>
        <w:t>ess</w:t>
      </w:r>
      <w:r w:rsidR="00881434">
        <w:rPr>
          <w:rFonts w:ascii="Times New Roman" w:eastAsia="Times New Roman" w:hAnsi="Times New Roman" w:cs="Times New Roman"/>
          <w:color w:val="000000"/>
          <w:sz w:val="24"/>
          <w:szCs w:val="24"/>
          <w:lang w:eastAsia="pt-BR"/>
        </w:rPr>
        <w:t xml:space="preserve">a delimitação, o </w:t>
      </w:r>
      <w:r w:rsidR="00881434" w:rsidRPr="00881434">
        <w:rPr>
          <w:rFonts w:ascii="Times New Roman" w:eastAsia="Times New Roman" w:hAnsi="Times New Roman" w:cs="Times New Roman"/>
          <w:i/>
          <w:color w:val="000000"/>
          <w:sz w:val="24"/>
          <w:szCs w:val="24"/>
          <w:lang w:eastAsia="pt-BR"/>
        </w:rPr>
        <w:t>corpus</w:t>
      </w:r>
      <w:r w:rsidR="00881434">
        <w:rPr>
          <w:rFonts w:ascii="Times New Roman" w:eastAsia="Times New Roman" w:hAnsi="Times New Roman" w:cs="Times New Roman"/>
          <w:color w:val="000000"/>
          <w:sz w:val="24"/>
          <w:szCs w:val="24"/>
          <w:lang w:eastAsia="pt-BR"/>
        </w:rPr>
        <w:t xml:space="preserve"> foi coletado por meio de registro fotográfico, incluin</w:t>
      </w:r>
      <w:r w:rsidR="00650323">
        <w:rPr>
          <w:rFonts w:ascii="Times New Roman" w:eastAsia="Times New Roman" w:hAnsi="Times New Roman" w:cs="Times New Roman"/>
          <w:color w:val="000000"/>
          <w:sz w:val="24"/>
          <w:szCs w:val="24"/>
          <w:lang w:eastAsia="pt-BR"/>
        </w:rPr>
        <w:t>do placas de estabelecimentos</w:t>
      </w:r>
      <w:r w:rsidR="00CF1242">
        <w:rPr>
          <w:rFonts w:ascii="Times New Roman" w:eastAsia="Times New Roman" w:hAnsi="Times New Roman" w:cs="Times New Roman"/>
          <w:color w:val="000000"/>
          <w:sz w:val="24"/>
          <w:szCs w:val="24"/>
          <w:lang w:eastAsia="pt-BR"/>
        </w:rPr>
        <w:t>, lápides</w:t>
      </w:r>
      <w:r w:rsidR="00881434">
        <w:rPr>
          <w:rFonts w:ascii="Times New Roman" w:eastAsia="Times New Roman" w:hAnsi="Times New Roman" w:cs="Times New Roman"/>
          <w:color w:val="000000"/>
          <w:sz w:val="24"/>
          <w:szCs w:val="24"/>
          <w:lang w:eastAsia="pt-BR"/>
        </w:rPr>
        <w:t xml:space="preserve">, placas informativas, cartões de felicitação, </w:t>
      </w:r>
      <w:r w:rsidR="00FE63D7" w:rsidRPr="00FE63D7">
        <w:rPr>
          <w:rFonts w:ascii="Times New Roman" w:eastAsia="Times New Roman" w:hAnsi="Times New Roman" w:cs="Times New Roman"/>
          <w:i/>
          <w:color w:val="000000"/>
          <w:sz w:val="24"/>
          <w:szCs w:val="24"/>
          <w:lang w:eastAsia="pt-BR"/>
        </w:rPr>
        <w:t>outdoors</w:t>
      </w:r>
      <w:r w:rsidR="00FE63D7">
        <w:rPr>
          <w:rFonts w:ascii="Times New Roman" w:eastAsia="Times New Roman" w:hAnsi="Times New Roman" w:cs="Times New Roman"/>
          <w:color w:val="000000"/>
          <w:sz w:val="24"/>
          <w:szCs w:val="24"/>
          <w:lang w:eastAsia="pt-BR"/>
        </w:rPr>
        <w:t xml:space="preserve">, </w:t>
      </w:r>
      <w:r w:rsidR="00881434">
        <w:rPr>
          <w:rFonts w:ascii="Times New Roman" w:eastAsia="Times New Roman" w:hAnsi="Times New Roman" w:cs="Times New Roman"/>
          <w:color w:val="000000"/>
          <w:sz w:val="24"/>
          <w:szCs w:val="24"/>
          <w:lang w:eastAsia="pt-BR"/>
        </w:rPr>
        <w:t>dentre outras unidades de análise.</w:t>
      </w:r>
    </w:p>
    <w:p w:rsidR="00CB1CD5" w:rsidRPr="00C11655" w:rsidRDefault="00857098" w:rsidP="00C1165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Destacamos que e</w:t>
      </w:r>
      <w:r w:rsidR="00C11655">
        <w:rPr>
          <w:rFonts w:ascii="Times New Roman" w:hAnsi="Times New Roman" w:cs="Times New Roman"/>
          <w:sz w:val="24"/>
          <w:szCs w:val="24"/>
        </w:rPr>
        <w:t>sse trabalho</w:t>
      </w:r>
      <w:r w:rsidR="00CB1CD5" w:rsidRPr="002C54A6">
        <w:rPr>
          <w:rFonts w:ascii="Times New Roman" w:hAnsi="Times New Roman" w:cs="Times New Roman"/>
          <w:sz w:val="24"/>
          <w:szCs w:val="24"/>
        </w:rPr>
        <w:t xml:space="preserve"> é de grande relevância para os estudos do multilinguismo no país, </w:t>
      </w:r>
      <w:r w:rsidR="00CB1CD5" w:rsidRPr="00C11655">
        <w:rPr>
          <w:rFonts w:ascii="Times New Roman" w:hAnsi="Times New Roman" w:cs="Times New Roman"/>
          <w:sz w:val="24"/>
          <w:szCs w:val="24"/>
        </w:rPr>
        <w:t>bem como para as políticas linguísticas e o planejamento linguístico, visto que, as mudanças no cenário da sociedade estão em constante evolução devido à globalização e aos processos imigratórios. Sendo assim, descrever e analisar como está sendo represen</w:t>
      </w:r>
      <w:r w:rsidR="00C11655" w:rsidRPr="00C11655">
        <w:rPr>
          <w:rFonts w:ascii="Times New Roman" w:hAnsi="Times New Roman" w:cs="Times New Roman"/>
          <w:sz w:val="24"/>
          <w:szCs w:val="24"/>
        </w:rPr>
        <w:t>tada a paisagem linguística na C</w:t>
      </w:r>
      <w:r w:rsidR="00CB1CD5" w:rsidRPr="00C11655">
        <w:rPr>
          <w:rFonts w:ascii="Times New Roman" w:hAnsi="Times New Roman" w:cs="Times New Roman"/>
          <w:sz w:val="24"/>
          <w:szCs w:val="24"/>
        </w:rPr>
        <w:t>olônia Witmarsum ecoa como instrumento de visibilidade de políticas linguísticas na reafirmação da identidade linguística de uma etnia, a qual é fundadora desse lugar.</w:t>
      </w:r>
    </w:p>
    <w:p w:rsidR="00C11655" w:rsidRPr="00C11655" w:rsidRDefault="00C11655" w:rsidP="00C11655">
      <w:pPr>
        <w:spacing w:after="0" w:line="240" w:lineRule="auto"/>
        <w:jc w:val="both"/>
        <w:rPr>
          <w:rFonts w:ascii="Times New Roman" w:hAnsi="Times New Roman" w:cs="Times New Roman"/>
          <w:sz w:val="24"/>
          <w:szCs w:val="24"/>
        </w:rPr>
      </w:pPr>
    </w:p>
    <w:p w:rsidR="00C11655" w:rsidRPr="005C34B3" w:rsidRDefault="00C11655" w:rsidP="005C34B3">
      <w:pPr>
        <w:pStyle w:val="PargrafodaLista"/>
        <w:numPr>
          <w:ilvl w:val="0"/>
          <w:numId w:val="2"/>
        </w:numPr>
        <w:spacing w:after="0" w:line="240" w:lineRule="auto"/>
        <w:jc w:val="both"/>
        <w:rPr>
          <w:rFonts w:ascii="Times New Roman" w:hAnsi="Times New Roman" w:cs="Times New Roman"/>
          <w:b/>
          <w:sz w:val="24"/>
          <w:szCs w:val="24"/>
        </w:rPr>
      </w:pPr>
      <w:r w:rsidRPr="005C34B3">
        <w:rPr>
          <w:rFonts w:ascii="Times New Roman" w:hAnsi="Times New Roman" w:cs="Times New Roman"/>
          <w:b/>
          <w:sz w:val="24"/>
          <w:szCs w:val="24"/>
        </w:rPr>
        <w:t>Paisag</w:t>
      </w:r>
      <w:r w:rsidR="00487A02" w:rsidRPr="005C34B3">
        <w:rPr>
          <w:rFonts w:ascii="Times New Roman" w:hAnsi="Times New Roman" w:cs="Times New Roman"/>
          <w:b/>
          <w:sz w:val="24"/>
          <w:szCs w:val="24"/>
        </w:rPr>
        <w:t>em Linguística e Política Linguística</w:t>
      </w:r>
    </w:p>
    <w:p w:rsidR="00C11655" w:rsidRPr="00C11655" w:rsidRDefault="00C11655" w:rsidP="00C11655">
      <w:pPr>
        <w:spacing w:after="0" w:line="240" w:lineRule="auto"/>
        <w:ind w:firstLine="708"/>
        <w:jc w:val="both"/>
        <w:rPr>
          <w:rFonts w:ascii="Times New Roman" w:hAnsi="Times New Roman" w:cs="Times New Roman"/>
          <w:b/>
          <w:sz w:val="24"/>
          <w:szCs w:val="24"/>
        </w:rPr>
      </w:pPr>
      <w:r w:rsidRPr="00C11655">
        <w:rPr>
          <w:rFonts w:ascii="Times New Roman" w:hAnsi="Times New Roman" w:cs="Times New Roman"/>
          <w:sz w:val="24"/>
          <w:szCs w:val="24"/>
        </w:rPr>
        <w:t>As ruas, as estradas, os comércios, os serviços públicos e privados dispõem de algo que vai além d</w:t>
      </w:r>
      <w:r w:rsidR="00E21206">
        <w:rPr>
          <w:rFonts w:ascii="Times New Roman" w:hAnsi="Times New Roman" w:cs="Times New Roman"/>
          <w:sz w:val="24"/>
          <w:szCs w:val="24"/>
        </w:rPr>
        <w:t>a estrutura física.</w:t>
      </w:r>
      <w:r w:rsidR="00487A02">
        <w:rPr>
          <w:rFonts w:ascii="Times New Roman" w:hAnsi="Times New Roman" w:cs="Times New Roman"/>
          <w:sz w:val="24"/>
          <w:szCs w:val="24"/>
        </w:rPr>
        <w:t xml:space="preserve"> As placas e as inscrições dispersa</w:t>
      </w:r>
      <w:r w:rsidRPr="00C11655">
        <w:rPr>
          <w:rFonts w:ascii="Times New Roman" w:hAnsi="Times New Roman" w:cs="Times New Roman"/>
          <w:sz w:val="24"/>
          <w:szCs w:val="24"/>
        </w:rPr>
        <w:t>s pelos espaços públicos são capazes de revelar comportamentos políticos, históricos, culturais e linguísticos. Estamos falando da Paisagem Linguística, da representação escrita da língua ou das línguas no cenário visual da região, da cidade, do bairro ou da rua, que, nesse sentido, constitui um relevante fator sociolinguístico, pois faz parte das interações dos falantes com o meio social.</w:t>
      </w:r>
    </w:p>
    <w:p w:rsidR="00C11655" w:rsidRPr="00C11655" w:rsidRDefault="00C11655" w:rsidP="00C11655">
      <w:pPr>
        <w:suppressAutoHyphens/>
        <w:spacing w:after="0" w:line="240" w:lineRule="auto"/>
        <w:ind w:firstLine="709"/>
        <w:jc w:val="both"/>
        <w:rPr>
          <w:rFonts w:ascii="Times New Roman" w:hAnsi="Times New Roman" w:cs="Times New Roman"/>
          <w:sz w:val="24"/>
          <w:szCs w:val="24"/>
        </w:rPr>
      </w:pPr>
      <w:r w:rsidRPr="00C11655">
        <w:rPr>
          <w:rFonts w:ascii="Times New Roman" w:hAnsi="Times New Roman" w:cs="Times New Roman"/>
          <w:sz w:val="24"/>
          <w:szCs w:val="24"/>
        </w:rPr>
        <w:t xml:space="preserve">Quando há a escolha da língua ou das línguas a serem representadas nos espaços públicos há uma intencionalidade definida e uma ideologia política marcante, isto é, as </w:t>
      </w:r>
      <w:r w:rsidRPr="00C11655">
        <w:rPr>
          <w:rFonts w:ascii="Times New Roman" w:hAnsi="Times New Roman" w:cs="Times New Roman"/>
          <w:sz w:val="24"/>
          <w:szCs w:val="24"/>
        </w:rPr>
        <w:lastRenderedPageBreak/>
        <w:t>línguas utilizadas nos espaços públicos de visibilidade na sua forma escrita são politicamente e culturalmente orientadas (SPOLSKY, 2009). Logo, no contexto das Políticas Linguísticas, os estudos acerca das Paisagens Linguísticas</w:t>
      </w:r>
      <w:r w:rsidRPr="00C11655">
        <w:rPr>
          <w:rFonts w:ascii="Times New Roman" w:hAnsi="Times New Roman" w:cs="Times New Roman"/>
          <w:sz w:val="24"/>
          <w:szCs w:val="24"/>
          <w:vertAlign w:val="superscript"/>
        </w:rPr>
        <w:footnoteReference w:id="3"/>
      </w:r>
      <w:r w:rsidRPr="00C11655">
        <w:rPr>
          <w:rFonts w:ascii="Times New Roman" w:hAnsi="Times New Roman" w:cs="Times New Roman"/>
          <w:sz w:val="24"/>
          <w:szCs w:val="24"/>
        </w:rPr>
        <w:t xml:space="preserve"> proporcionam um percurso de reflexões no que se refere ao planejamento linguístico, às práticas de linguagem, à manutenção ou à mudança dos usos linguísticos e, acima de tudo, como se constroem essas representações no espaço público – “a arena mais relevante para servir como mecanismo para criar uma política linguística de fato</w:t>
      </w:r>
      <w:r w:rsidRPr="00C11655">
        <w:rPr>
          <w:rFonts w:ascii="Times New Roman" w:hAnsi="Times New Roman" w:cs="Times New Roman"/>
          <w:sz w:val="24"/>
          <w:szCs w:val="24"/>
          <w:vertAlign w:val="superscript"/>
        </w:rPr>
        <w:footnoteReference w:id="4"/>
      </w:r>
      <w:r w:rsidRPr="00C11655">
        <w:rPr>
          <w:rFonts w:ascii="Times New Roman" w:hAnsi="Times New Roman" w:cs="Times New Roman"/>
          <w:sz w:val="24"/>
          <w:szCs w:val="24"/>
        </w:rPr>
        <w:t>” (</w:t>
      </w:r>
      <w:r w:rsidR="00E21206" w:rsidRPr="00C11655">
        <w:rPr>
          <w:rFonts w:ascii="Times New Roman" w:hAnsi="Times New Roman" w:cs="Times New Roman"/>
          <w:sz w:val="24"/>
          <w:szCs w:val="24"/>
        </w:rPr>
        <w:t>SHOHAMY</w:t>
      </w:r>
      <w:r w:rsidRPr="00C11655">
        <w:rPr>
          <w:rFonts w:ascii="Times New Roman" w:hAnsi="Times New Roman" w:cs="Times New Roman"/>
          <w:sz w:val="24"/>
          <w:szCs w:val="24"/>
        </w:rPr>
        <w:t>, 2006, p. 110, tradução nossa). O termo metafórico utilizado pela autora para designar o espaço público – arena – reflete à compreensão de duelo, de relações de poder entre as práticas linguísticas. Com essa colocação inferimos que a língua visível na paisagem linguística pode, de fato, configurar numa ação política real, efetiva, por meio da sua representação, seja ela simbólica ou infor</w:t>
      </w:r>
      <w:r w:rsidR="00E21206">
        <w:rPr>
          <w:rFonts w:ascii="Times New Roman" w:hAnsi="Times New Roman" w:cs="Times New Roman"/>
          <w:sz w:val="24"/>
          <w:szCs w:val="24"/>
        </w:rPr>
        <w:t xml:space="preserve">mativa, conforme postulado por </w:t>
      </w:r>
      <w:r w:rsidRPr="00C11655">
        <w:rPr>
          <w:rFonts w:ascii="Times New Roman" w:hAnsi="Times New Roman" w:cs="Times New Roman"/>
          <w:sz w:val="24"/>
          <w:szCs w:val="24"/>
        </w:rPr>
        <w:t>Landr</w:t>
      </w:r>
      <w:r w:rsidR="00E21206">
        <w:rPr>
          <w:rFonts w:ascii="Times New Roman" w:hAnsi="Times New Roman" w:cs="Times New Roman"/>
          <w:sz w:val="24"/>
          <w:szCs w:val="24"/>
        </w:rPr>
        <w:t>y &amp; Bourhis</w:t>
      </w:r>
      <w:r w:rsidRPr="00C11655">
        <w:rPr>
          <w:rFonts w:ascii="Times New Roman" w:hAnsi="Times New Roman" w:cs="Times New Roman"/>
          <w:sz w:val="24"/>
          <w:szCs w:val="24"/>
        </w:rPr>
        <w:t xml:space="preserve"> </w:t>
      </w:r>
      <w:r w:rsidR="00E21206">
        <w:rPr>
          <w:rFonts w:ascii="Times New Roman" w:hAnsi="Times New Roman" w:cs="Times New Roman"/>
          <w:sz w:val="24"/>
          <w:szCs w:val="24"/>
        </w:rPr>
        <w:t>(</w:t>
      </w:r>
      <w:r w:rsidRPr="00C11655">
        <w:rPr>
          <w:rFonts w:ascii="Times New Roman" w:hAnsi="Times New Roman" w:cs="Times New Roman"/>
          <w:sz w:val="24"/>
          <w:szCs w:val="24"/>
        </w:rPr>
        <w:t>1997).</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rPr>
      </w:pPr>
      <w:r w:rsidRPr="00C11655">
        <w:rPr>
          <w:rFonts w:ascii="Times New Roman" w:hAnsi="Times New Roman" w:cs="Times New Roman"/>
          <w:sz w:val="24"/>
          <w:szCs w:val="24"/>
        </w:rPr>
        <w:t xml:space="preserve">Portanto, para ampliar a compreensão acerca do conceito Paisagem Linguística apresentamos a seguir as definições dos mais relevantes linguistas e estudiosos que desenvolveram pesquisas marcantes nessa área. Nesse sentido, explicitamos tais conceitos de forma cronológica para observarmos a evolução do objeto em estudo e seu campo de pesquisa. </w:t>
      </w:r>
    </w:p>
    <w:p w:rsidR="00C11655" w:rsidRPr="00C11655" w:rsidRDefault="00C11655" w:rsidP="00E21206">
      <w:pPr>
        <w:suppressAutoHyphens/>
        <w:spacing w:line="240" w:lineRule="auto"/>
        <w:ind w:firstLine="709"/>
        <w:contextualSpacing/>
        <w:jc w:val="both"/>
        <w:rPr>
          <w:rFonts w:ascii="Times New Roman" w:hAnsi="Times New Roman" w:cs="Times New Roman"/>
          <w:sz w:val="24"/>
          <w:szCs w:val="24"/>
        </w:rPr>
      </w:pPr>
      <w:r w:rsidRPr="00C11655">
        <w:rPr>
          <w:rFonts w:ascii="Times New Roman" w:hAnsi="Times New Roman" w:cs="Times New Roman"/>
          <w:sz w:val="24"/>
          <w:szCs w:val="24"/>
        </w:rPr>
        <w:t>A literatura apresenta-nos que há documentos que comprovam estudos em placas linguísticas em determinados territórios desde 1960 (</w:t>
      </w:r>
      <w:r w:rsidR="00E21206" w:rsidRPr="00C11655">
        <w:rPr>
          <w:rFonts w:ascii="Times New Roman" w:hAnsi="Times New Roman" w:cs="Times New Roman"/>
          <w:sz w:val="24"/>
          <w:szCs w:val="24"/>
        </w:rPr>
        <w:t xml:space="preserve">GARVIN, </w:t>
      </w:r>
      <w:r w:rsidRPr="00C11655">
        <w:rPr>
          <w:rFonts w:ascii="Times New Roman" w:hAnsi="Times New Roman" w:cs="Times New Roman"/>
          <w:sz w:val="24"/>
          <w:szCs w:val="24"/>
        </w:rPr>
        <w:t xml:space="preserve">2010), no entanto, Landry &amp; Bourhis (1997) foram os pioneiros e marcaram efetivamente os estudos científicos em Paisagem Linguística como área que surgiu dentro da Sociolinguística e da Linguística Aplicada. Assim, de acordo com </w:t>
      </w:r>
      <w:r w:rsidR="00E21206">
        <w:rPr>
          <w:rFonts w:ascii="Times New Roman" w:hAnsi="Times New Roman" w:cs="Times New Roman"/>
          <w:sz w:val="24"/>
          <w:szCs w:val="24"/>
        </w:rPr>
        <w:t>os autores,</w:t>
      </w:r>
    </w:p>
    <w:p w:rsidR="00C11655" w:rsidRPr="00C11655" w:rsidRDefault="00C11655" w:rsidP="00C11655">
      <w:pPr>
        <w:suppressAutoHyphens/>
        <w:spacing w:line="240" w:lineRule="auto"/>
        <w:contextualSpacing/>
        <w:jc w:val="both"/>
        <w:rPr>
          <w:rFonts w:ascii="Times New Roman" w:hAnsi="Times New Roman" w:cs="Times New Roman"/>
          <w:sz w:val="24"/>
          <w:szCs w:val="24"/>
        </w:rPr>
      </w:pPr>
    </w:p>
    <w:p w:rsidR="00C11655" w:rsidRPr="00C11655" w:rsidRDefault="00C11655" w:rsidP="00C11655">
      <w:pPr>
        <w:suppressAutoHyphens/>
        <w:spacing w:line="240" w:lineRule="auto"/>
        <w:ind w:left="2268"/>
        <w:contextualSpacing/>
        <w:jc w:val="both"/>
        <w:rPr>
          <w:rFonts w:ascii="Times New Roman" w:hAnsi="Times New Roman" w:cs="Times New Roman"/>
          <w:sz w:val="20"/>
          <w:szCs w:val="20"/>
          <w:shd w:val="clear" w:color="auto" w:fill="FFFFFF"/>
        </w:rPr>
      </w:pPr>
      <w:r w:rsidRPr="00C11655">
        <w:rPr>
          <w:rFonts w:ascii="Times New Roman" w:hAnsi="Times New Roman" w:cs="Times New Roman"/>
          <w:sz w:val="20"/>
          <w:szCs w:val="20"/>
        </w:rPr>
        <w:t xml:space="preserve">[...] a língua de sinais públicos rodoviários, painéis publicitários (billboards), nomes de ruas, nomes de lugares, placas de lojas comerciais, placas públicas em edifícios do governo que combinam para formar a paisagem linguística de um dado </w:t>
      </w:r>
      <w:r w:rsidRPr="00E21206">
        <w:rPr>
          <w:rFonts w:ascii="Times New Roman" w:hAnsi="Times New Roman" w:cs="Times New Roman"/>
          <w:sz w:val="20"/>
          <w:szCs w:val="20"/>
        </w:rPr>
        <w:t>território, região ou aglomeração urbana</w:t>
      </w:r>
      <w:r w:rsidRPr="00E21206">
        <w:rPr>
          <w:rFonts w:ascii="Times New Roman" w:hAnsi="Times New Roman" w:cs="Times New Roman"/>
          <w:sz w:val="20"/>
          <w:szCs w:val="20"/>
          <w:shd w:val="clear" w:color="auto" w:fill="FFFFFF"/>
          <w:vertAlign w:val="superscript"/>
        </w:rPr>
        <w:footnoteReference w:id="5"/>
      </w:r>
      <w:r w:rsidRPr="00E21206">
        <w:rPr>
          <w:rFonts w:ascii="Times New Roman" w:hAnsi="Times New Roman" w:cs="Times New Roman"/>
          <w:sz w:val="20"/>
          <w:szCs w:val="20"/>
          <w:shd w:val="clear" w:color="auto" w:fill="FFFFFF"/>
        </w:rPr>
        <w:t xml:space="preserve"> </w:t>
      </w:r>
      <w:r w:rsidR="00E21206" w:rsidRPr="00E21206">
        <w:rPr>
          <w:rFonts w:ascii="Times New Roman" w:hAnsi="Times New Roman" w:cs="Times New Roman"/>
          <w:sz w:val="20"/>
          <w:szCs w:val="20"/>
          <w:shd w:val="clear" w:color="auto" w:fill="FFFFFF"/>
        </w:rPr>
        <w:t>(</w:t>
      </w:r>
      <w:r w:rsidR="00E21206" w:rsidRPr="00E21206">
        <w:rPr>
          <w:rFonts w:ascii="Times New Roman" w:hAnsi="Times New Roman" w:cs="Times New Roman"/>
          <w:sz w:val="20"/>
          <w:szCs w:val="20"/>
        </w:rPr>
        <w:t>LANDRY &amp; BOURHIS, 1997,</w:t>
      </w:r>
      <w:r w:rsidR="00E21206">
        <w:rPr>
          <w:rFonts w:ascii="Times New Roman" w:hAnsi="Times New Roman" w:cs="Times New Roman"/>
          <w:sz w:val="20"/>
          <w:szCs w:val="20"/>
        </w:rPr>
        <w:t xml:space="preserve"> </w:t>
      </w:r>
      <w:r w:rsidRPr="00E21206">
        <w:rPr>
          <w:rFonts w:ascii="Times New Roman" w:hAnsi="Times New Roman" w:cs="Times New Roman"/>
          <w:sz w:val="20"/>
          <w:szCs w:val="20"/>
          <w:shd w:val="clear" w:color="auto" w:fill="FFFFFF"/>
        </w:rPr>
        <w:t>p.</w:t>
      </w:r>
      <w:r w:rsidRPr="00C11655">
        <w:rPr>
          <w:rFonts w:ascii="Times New Roman" w:hAnsi="Times New Roman" w:cs="Times New Roman"/>
          <w:sz w:val="20"/>
          <w:szCs w:val="20"/>
          <w:shd w:val="clear" w:color="auto" w:fill="FFFFFF"/>
        </w:rPr>
        <w:t xml:space="preserve"> 25, tradução nossa).</w:t>
      </w:r>
    </w:p>
    <w:p w:rsidR="00F64385" w:rsidRPr="00C11655" w:rsidRDefault="00F64385" w:rsidP="00C11655">
      <w:pPr>
        <w:suppressAutoHyphens/>
        <w:spacing w:line="240" w:lineRule="auto"/>
        <w:contextualSpacing/>
        <w:jc w:val="both"/>
        <w:rPr>
          <w:rFonts w:ascii="Times New Roman" w:hAnsi="Times New Roman" w:cs="Times New Roman"/>
          <w:sz w:val="24"/>
          <w:szCs w:val="24"/>
        </w:rPr>
      </w:pP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shd w:val="clear" w:color="auto" w:fill="FFFFFF"/>
        </w:rPr>
      </w:pPr>
      <w:r w:rsidRPr="00C11655">
        <w:rPr>
          <w:rFonts w:ascii="Times New Roman" w:hAnsi="Times New Roman" w:cs="Times New Roman"/>
          <w:sz w:val="24"/>
          <w:szCs w:val="24"/>
          <w:shd w:val="clear" w:color="auto" w:fill="FFFFFF"/>
        </w:rPr>
        <w:t>Já, segundo Shohamy (2006), Paisagem Linguística configura-se como</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shd w:val="clear" w:color="auto" w:fill="FFFFFF"/>
        </w:rPr>
      </w:pPr>
    </w:p>
    <w:p w:rsidR="00C11655" w:rsidRPr="00C11655" w:rsidRDefault="00C11655" w:rsidP="00C11655">
      <w:pPr>
        <w:suppressAutoHyphens/>
        <w:spacing w:line="240" w:lineRule="auto"/>
        <w:ind w:left="2268"/>
        <w:contextualSpacing/>
        <w:jc w:val="both"/>
        <w:rPr>
          <w:rFonts w:ascii="Times New Roman" w:hAnsi="Times New Roman" w:cs="Times New Roman"/>
          <w:sz w:val="20"/>
          <w:szCs w:val="20"/>
        </w:rPr>
      </w:pPr>
      <w:r w:rsidRPr="00C11655">
        <w:rPr>
          <w:rFonts w:ascii="Times New Roman" w:hAnsi="Times New Roman" w:cs="Times New Roman"/>
          <w:sz w:val="20"/>
          <w:szCs w:val="20"/>
        </w:rPr>
        <w:t>[...] um domínio dentro da linguagem no espaço público; refere-se à linguagem específica que objetos marcam na esfera pública. Exemplos de paisagem linguística são placas de trânsito, nomes de lugar, ruas, nomes de edifício, locais e instituições, painéis publicitários (outdoors), cartões comerciais de visita, bem como rótulos, instruções e formulários públicos, nomes de lojas e placas públicas</w:t>
      </w:r>
      <w:r w:rsidRPr="00C11655">
        <w:rPr>
          <w:rFonts w:ascii="Times New Roman" w:hAnsi="Times New Roman" w:cs="Times New Roman"/>
          <w:sz w:val="20"/>
          <w:szCs w:val="20"/>
          <w:vertAlign w:val="superscript"/>
        </w:rPr>
        <w:footnoteReference w:id="6"/>
      </w:r>
      <w:r w:rsidRPr="00C11655">
        <w:rPr>
          <w:rFonts w:ascii="Times New Roman" w:hAnsi="Times New Roman" w:cs="Times New Roman"/>
          <w:sz w:val="20"/>
          <w:szCs w:val="20"/>
        </w:rPr>
        <w:t xml:space="preserve"> (</w:t>
      </w:r>
      <w:r w:rsidR="00BF78D7">
        <w:rPr>
          <w:rFonts w:ascii="Times New Roman" w:hAnsi="Times New Roman" w:cs="Times New Roman"/>
          <w:sz w:val="20"/>
          <w:szCs w:val="20"/>
        </w:rPr>
        <w:t>SHOHAMY,</w:t>
      </w:r>
      <w:r w:rsidR="00E8028C">
        <w:rPr>
          <w:rFonts w:ascii="Times New Roman" w:hAnsi="Times New Roman" w:cs="Times New Roman"/>
          <w:sz w:val="20"/>
          <w:szCs w:val="20"/>
        </w:rPr>
        <w:t xml:space="preserve"> 2006, </w:t>
      </w:r>
      <w:r w:rsidR="00BF78D7">
        <w:rPr>
          <w:rFonts w:ascii="Times New Roman" w:hAnsi="Times New Roman" w:cs="Times New Roman"/>
          <w:sz w:val="20"/>
          <w:szCs w:val="20"/>
        </w:rPr>
        <w:t xml:space="preserve"> </w:t>
      </w:r>
      <w:r w:rsidRPr="00C11655">
        <w:rPr>
          <w:rFonts w:ascii="Times New Roman" w:hAnsi="Times New Roman" w:cs="Times New Roman"/>
          <w:sz w:val="20"/>
          <w:szCs w:val="20"/>
        </w:rPr>
        <w:t>p. 112, tradução nossa).</w:t>
      </w:r>
    </w:p>
    <w:p w:rsidR="00C11655" w:rsidRPr="00C11655" w:rsidRDefault="00C11655" w:rsidP="00C11655">
      <w:pPr>
        <w:suppressAutoHyphens/>
        <w:spacing w:line="240" w:lineRule="auto"/>
        <w:contextualSpacing/>
        <w:jc w:val="both"/>
        <w:rPr>
          <w:rFonts w:ascii="Times New Roman" w:hAnsi="Times New Roman" w:cs="Times New Roman"/>
          <w:sz w:val="24"/>
          <w:szCs w:val="24"/>
        </w:rPr>
      </w:pPr>
    </w:p>
    <w:p w:rsidR="00C11655" w:rsidRPr="00C11655" w:rsidRDefault="00E21206" w:rsidP="00C11655">
      <w:pPr>
        <w:suppressAutoHyphens/>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E </w:t>
      </w:r>
      <w:r w:rsidR="00C11655" w:rsidRPr="00C11655">
        <w:rPr>
          <w:rFonts w:ascii="Times New Roman" w:hAnsi="Times New Roman" w:cs="Times New Roman"/>
          <w:sz w:val="24"/>
          <w:szCs w:val="24"/>
          <w:shd w:val="clear" w:color="auto" w:fill="FFFFFF"/>
        </w:rPr>
        <w:t xml:space="preserve">Ben-Rafael </w:t>
      </w:r>
      <w:r w:rsidR="00C11655" w:rsidRPr="00C11655">
        <w:rPr>
          <w:rFonts w:ascii="Times New Roman" w:hAnsi="Times New Roman" w:cs="Times New Roman"/>
          <w:i/>
          <w:sz w:val="24"/>
          <w:szCs w:val="24"/>
          <w:shd w:val="clear" w:color="auto" w:fill="FFFFFF"/>
        </w:rPr>
        <w:t>et al</w:t>
      </w:r>
      <w:r>
        <w:rPr>
          <w:rFonts w:ascii="Times New Roman" w:hAnsi="Times New Roman" w:cs="Times New Roman"/>
          <w:i/>
          <w:sz w:val="24"/>
          <w:szCs w:val="24"/>
          <w:shd w:val="clear" w:color="auto" w:fill="FFFFFF"/>
        </w:rPr>
        <w:t>.</w:t>
      </w:r>
      <w:r w:rsidR="00C11655" w:rsidRPr="00C11655">
        <w:rPr>
          <w:rFonts w:ascii="Times New Roman" w:hAnsi="Times New Roman" w:cs="Times New Roman"/>
          <w:sz w:val="24"/>
          <w:szCs w:val="24"/>
          <w:shd w:val="clear" w:color="auto" w:fill="FFFFFF"/>
        </w:rPr>
        <w:t xml:space="preserve"> (2006, p. 7) considera Paisagem Linguística como “todos os objetos linguísticos que marcam o espaço público”.</w:t>
      </w:r>
      <w:r w:rsidR="00C11655" w:rsidRPr="00C11655">
        <w:rPr>
          <w:rFonts w:ascii="Times New Roman" w:hAnsi="Times New Roman" w:cs="Times New Roman"/>
          <w:sz w:val="24"/>
          <w:szCs w:val="24"/>
        </w:rPr>
        <w:tab/>
      </w:r>
      <w:r>
        <w:rPr>
          <w:rFonts w:ascii="Times New Roman" w:hAnsi="Times New Roman" w:cs="Times New Roman"/>
          <w:sz w:val="24"/>
          <w:szCs w:val="24"/>
        </w:rPr>
        <w:t xml:space="preserve"> </w:t>
      </w:r>
      <w:r w:rsidR="00C11655" w:rsidRPr="00C11655">
        <w:rPr>
          <w:rFonts w:ascii="Times New Roman" w:hAnsi="Times New Roman" w:cs="Times New Roman"/>
          <w:sz w:val="24"/>
          <w:szCs w:val="24"/>
        </w:rPr>
        <w:t xml:space="preserve">No que tange às definições expostas pelos teóricos supracitados, observamos que ambos consideram o espaço público como campo de visualização e marcação das paisagens linguísticas. Tanto Landry &amp; Bourhis </w:t>
      </w:r>
      <w:r w:rsidR="00C11655" w:rsidRPr="00C11655">
        <w:rPr>
          <w:rFonts w:ascii="Times New Roman" w:hAnsi="Times New Roman" w:cs="Times New Roman"/>
          <w:sz w:val="24"/>
          <w:szCs w:val="24"/>
        </w:rPr>
        <w:lastRenderedPageBreak/>
        <w:t>(1997), quanto Shohamy (2006) abrangem as placas de sinalização, placas de rua, painéis publicitários, nomes de lugar, placas de edifícios e lojas comerciais. No entanto, Shohamy (2006) expande seu conceito e inclui cartões de visita, rótulos, instruções e formulários públicos.</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shd w:val="clear" w:color="auto" w:fill="FFFFFF"/>
        </w:rPr>
      </w:pPr>
      <w:r w:rsidRPr="00C11655">
        <w:rPr>
          <w:rFonts w:ascii="Times New Roman" w:hAnsi="Times New Roman" w:cs="Times New Roman"/>
          <w:sz w:val="24"/>
          <w:szCs w:val="24"/>
        </w:rPr>
        <w:t>Calvet (2007</w:t>
      </w:r>
      <w:r w:rsidR="00585DCD">
        <w:rPr>
          <w:rFonts w:ascii="Times New Roman" w:hAnsi="Times New Roman" w:cs="Times New Roman"/>
          <w:sz w:val="24"/>
          <w:szCs w:val="24"/>
        </w:rPr>
        <w:t>, p. 72</w:t>
      </w:r>
      <w:r w:rsidRPr="00C11655">
        <w:rPr>
          <w:rFonts w:ascii="Times New Roman" w:hAnsi="Times New Roman" w:cs="Times New Roman"/>
          <w:sz w:val="24"/>
          <w:szCs w:val="24"/>
        </w:rPr>
        <w:t>) não se apropria do binômio Paisagem Linguística e o chama de ambiente linguístico “</w:t>
      </w:r>
      <w:r w:rsidRPr="00C11655">
        <w:rPr>
          <w:rFonts w:ascii="Times New Roman" w:hAnsi="Times New Roman" w:cs="Times New Roman"/>
          <w:sz w:val="24"/>
          <w:szCs w:val="24"/>
          <w:shd w:val="clear" w:color="auto" w:fill="FFFFFF"/>
        </w:rPr>
        <w:t>[...] as placas indicando o nome das ruas, os sinais de trânsito, as placas dos carros, os cartazes publicitários, os programas de rádio ou televisão, os quais são lugares privilegiados de intervenção para</w:t>
      </w:r>
      <w:r w:rsidR="00585DCD">
        <w:rPr>
          <w:rFonts w:ascii="Times New Roman" w:hAnsi="Times New Roman" w:cs="Times New Roman"/>
          <w:sz w:val="24"/>
          <w:szCs w:val="24"/>
          <w:shd w:val="clear" w:color="auto" w:fill="FFFFFF"/>
        </w:rPr>
        <w:t xml:space="preserve"> a promoção das línguas”</w:t>
      </w:r>
      <w:r w:rsidRPr="00C11655">
        <w:rPr>
          <w:rFonts w:ascii="Times New Roman" w:hAnsi="Times New Roman" w:cs="Times New Roman"/>
          <w:sz w:val="24"/>
          <w:szCs w:val="24"/>
          <w:shd w:val="clear" w:color="auto" w:fill="FFFFFF"/>
        </w:rPr>
        <w:t>. E Gorter (2013) inclui, também, os anúncios digitais. Vejamos que, para Calvet (2007) não somente a língua escrita faz parte do ambiente linguístico, mas também, a língua falada, oral. Isso é um diferencial entre os demais estudiosos e pesquisadores, porém, não configura nosso campo de análises.</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rPr>
      </w:pPr>
      <w:r w:rsidRPr="00C11655">
        <w:rPr>
          <w:rFonts w:ascii="Times New Roman" w:hAnsi="Times New Roman" w:cs="Times New Roman"/>
          <w:sz w:val="24"/>
          <w:szCs w:val="24"/>
        </w:rPr>
        <w:t>Sobretudo há de considerar que, todos os linguistas mencionados incluem em suas colocações os sinais oficiais (</w:t>
      </w:r>
      <w:r w:rsidRPr="00C11655">
        <w:rPr>
          <w:rFonts w:ascii="Times New Roman" w:hAnsi="Times New Roman" w:cs="Times New Roman"/>
          <w:i/>
          <w:sz w:val="24"/>
          <w:szCs w:val="24"/>
        </w:rPr>
        <w:t>top-down</w:t>
      </w:r>
      <w:r w:rsidRPr="00C11655">
        <w:rPr>
          <w:rFonts w:ascii="Times New Roman" w:hAnsi="Times New Roman" w:cs="Times New Roman"/>
          <w:sz w:val="24"/>
          <w:szCs w:val="24"/>
        </w:rPr>
        <w:t>) – aqueles que os atores são agentes governamentais (placas de rua, placas de trânsito, placas de instituições públicas); e não oficiais (</w:t>
      </w:r>
      <w:r w:rsidRPr="00C11655">
        <w:rPr>
          <w:rFonts w:ascii="Times New Roman" w:hAnsi="Times New Roman" w:cs="Times New Roman"/>
          <w:i/>
          <w:sz w:val="24"/>
          <w:szCs w:val="24"/>
        </w:rPr>
        <w:t>bottom-up</w:t>
      </w:r>
      <w:r w:rsidRPr="00C11655">
        <w:rPr>
          <w:rFonts w:ascii="Times New Roman" w:hAnsi="Times New Roman" w:cs="Times New Roman"/>
          <w:sz w:val="24"/>
          <w:szCs w:val="24"/>
        </w:rPr>
        <w:t>) – aqueles em os atores são os proprietários dos estabelecimentos e os prestadores de serviço do âmbito particular, que imprimem suas marcas linguísticas n</w:t>
      </w:r>
      <w:r w:rsidR="00585DCD">
        <w:rPr>
          <w:rFonts w:ascii="Times New Roman" w:hAnsi="Times New Roman" w:cs="Times New Roman"/>
          <w:sz w:val="24"/>
          <w:szCs w:val="24"/>
        </w:rPr>
        <w:t xml:space="preserve">o espaço público. </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rPr>
      </w:pPr>
      <w:r w:rsidRPr="00C11655">
        <w:rPr>
          <w:rFonts w:ascii="Times New Roman" w:hAnsi="Times New Roman" w:cs="Times New Roman"/>
          <w:sz w:val="24"/>
          <w:szCs w:val="24"/>
        </w:rPr>
        <w:t>O multilinguismo, dentre muitas possibilidades de estudo, pode ser analisado sob o escopo da paisagem linguística de determinado local ou demarcação. A disposição e a representação de uma placa monolíngue em uma língua que não é a oficial daquele território ou os usos bilíngues ou multilíngues despertam à análise das intenções dos atores na escolha dos códigos linguísticos. Além disso, os contextos de que são marcados por influências imigratórias constituem um vasto campo para o estudo da paisagem linguística devido à manifestação da língua como forma de pertencimento histórico-cultural.</w:t>
      </w:r>
    </w:p>
    <w:p w:rsidR="00C11655" w:rsidRPr="00C11655" w:rsidRDefault="00C11655" w:rsidP="00C11655">
      <w:pPr>
        <w:suppressAutoHyphens/>
        <w:spacing w:line="240" w:lineRule="auto"/>
        <w:ind w:firstLine="709"/>
        <w:contextualSpacing/>
        <w:jc w:val="both"/>
        <w:rPr>
          <w:rFonts w:ascii="Times New Roman" w:hAnsi="Times New Roman" w:cs="Times New Roman"/>
          <w:sz w:val="24"/>
          <w:szCs w:val="24"/>
        </w:rPr>
      </w:pPr>
      <w:r w:rsidRPr="00C11655">
        <w:rPr>
          <w:rFonts w:ascii="Times New Roman" w:hAnsi="Times New Roman" w:cs="Times New Roman"/>
          <w:sz w:val="24"/>
          <w:szCs w:val="24"/>
        </w:rPr>
        <w:t>De acordo com</w:t>
      </w:r>
      <w:r w:rsidR="005C34B3">
        <w:rPr>
          <w:rFonts w:ascii="Times New Roman" w:hAnsi="Times New Roman" w:cs="Times New Roman"/>
          <w:sz w:val="24"/>
          <w:szCs w:val="24"/>
        </w:rPr>
        <w:t xml:space="preserve"> Berger; Elsenbach (2017</w:t>
      </w:r>
      <w:r w:rsidRPr="00C11655">
        <w:rPr>
          <w:rFonts w:ascii="Times New Roman" w:hAnsi="Times New Roman" w:cs="Times New Roman"/>
          <w:sz w:val="24"/>
          <w:szCs w:val="24"/>
        </w:rPr>
        <w:t>)</w:t>
      </w:r>
    </w:p>
    <w:p w:rsidR="00C11655" w:rsidRPr="00C11655" w:rsidRDefault="00C11655" w:rsidP="00C11655">
      <w:pPr>
        <w:suppressAutoHyphens/>
        <w:spacing w:line="240" w:lineRule="auto"/>
        <w:ind w:firstLine="709"/>
        <w:contextualSpacing/>
        <w:jc w:val="both"/>
        <w:rPr>
          <w:rFonts w:ascii="Times New Roman" w:hAnsi="Times New Roman" w:cs="Times New Roman"/>
          <w:sz w:val="20"/>
          <w:szCs w:val="20"/>
        </w:rPr>
      </w:pPr>
    </w:p>
    <w:p w:rsidR="00C11655" w:rsidRPr="00C11655" w:rsidRDefault="00C11655" w:rsidP="00C11655">
      <w:pPr>
        <w:suppressAutoHyphens/>
        <w:spacing w:line="240" w:lineRule="auto"/>
        <w:ind w:left="2268"/>
        <w:contextualSpacing/>
        <w:jc w:val="both"/>
        <w:rPr>
          <w:rFonts w:ascii="Times New Roman" w:hAnsi="Times New Roman" w:cs="Times New Roman"/>
          <w:sz w:val="20"/>
          <w:szCs w:val="20"/>
        </w:rPr>
      </w:pPr>
      <w:r w:rsidRPr="00C11655">
        <w:rPr>
          <w:rFonts w:ascii="Times New Roman" w:hAnsi="Times New Roman" w:cs="Times New Roman"/>
          <w:sz w:val="20"/>
          <w:szCs w:val="20"/>
        </w:rPr>
        <w:t>O estudo da paisagem linguística em contextos multilíngues pode informar sobre a situação sociolinguística de um determinado local, demonstrar padrões de uso das línguas de acordo com as políticas linguísticas explícitas e oficiais ou, ainda, oferecer indícios das atitudes em relação às línguas que coexistem no local e dos valores atribuídos a elas. Acrescente-se, ainda, revelam, além dos efeitos do contato entre as línguas locais, também outros fenômenos sociolinguísticos, como as consequências de processos de globalização que resultam na presença de muitas outras línguas ao espaço de visibilidade.</w:t>
      </w:r>
      <w:r w:rsidR="005C34B3" w:rsidRPr="005C34B3">
        <w:rPr>
          <w:rFonts w:ascii="Times New Roman" w:hAnsi="Times New Roman" w:cs="Times New Roman"/>
          <w:sz w:val="24"/>
          <w:szCs w:val="24"/>
        </w:rPr>
        <w:t xml:space="preserve"> </w:t>
      </w:r>
      <w:r w:rsidR="005C34B3">
        <w:rPr>
          <w:rFonts w:ascii="Times New Roman" w:hAnsi="Times New Roman" w:cs="Times New Roman"/>
          <w:sz w:val="24"/>
          <w:szCs w:val="24"/>
        </w:rPr>
        <w:t>(</w:t>
      </w:r>
      <w:r w:rsidR="005C34B3" w:rsidRPr="005C34B3">
        <w:rPr>
          <w:rFonts w:ascii="Times New Roman" w:hAnsi="Times New Roman" w:cs="Times New Roman"/>
          <w:sz w:val="20"/>
          <w:szCs w:val="20"/>
        </w:rPr>
        <w:t>BERGER; ELSENBACH,</w:t>
      </w:r>
      <w:r w:rsidR="005C34B3">
        <w:rPr>
          <w:rFonts w:ascii="Times New Roman" w:hAnsi="Times New Roman" w:cs="Times New Roman"/>
          <w:sz w:val="24"/>
          <w:szCs w:val="24"/>
        </w:rPr>
        <w:t xml:space="preserve"> </w:t>
      </w:r>
      <w:r w:rsidR="005C34B3" w:rsidRPr="005C34B3">
        <w:rPr>
          <w:rFonts w:ascii="Times New Roman" w:hAnsi="Times New Roman" w:cs="Times New Roman"/>
          <w:sz w:val="20"/>
          <w:szCs w:val="20"/>
        </w:rPr>
        <w:t>2017, p. 439)</w:t>
      </w:r>
    </w:p>
    <w:p w:rsidR="00C11655" w:rsidRPr="00C11655" w:rsidRDefault="00C11655" w:rsidP="00C11655">
      <w:pPr>
        <w:suppressAutoHyphens/>
        <w:spacing w:line="240" w:lineRule="auto"/>
        <w:ind w:left="2268"/>
        <w:contextualSpacing/>
        <w:jc w:val="both"/>
        <w:rPr>
          <w:rFonts w:ascii="Times New Roman" w:hAnsi="Times New Roman" w:cs="Times New Roman"/>
          <w:sz w:val="24"/>
          <w:szCs w:val="24"/>
        </w:rPr>
      </w:pPr>
    </w:p>
    <w:p w:rsidR="00C11655" w:rsidRPr="00C11655" w:rsidRDefault="00C11655" w:rsidP="00C11655">
      <w:pPr>
        <w:suppressAutoHyphens/>
        <w:spacing w:after="0" w:line="240" w:lineRule="auto"/>
        <w:ind w:firstLine="709"/>
        <w:jc w:val="both"/>
        <w:rPr>
          <w:rFonts w:ascii="Times New Roman" w:hAnsi="Times New Roman" w:cs="Times New Roman"/>
          <w:sz w:val="24"/>
          <w:szCs w:val="24"/>
        </w:rPr>
      </w:pPr>
      <w:r w:rsidRPr="00C11655">
        <w:rPr>
          <w:rFonts w:ascii="Times New Roman" w:hAnsi="Times New Roman" w:cs="Times New Roman"/>
          <w:sz w:val="24"/>
          <w:szCs w:val="24"/>
        </w:rPr>
        <w:t>Desse modo, a paisagem linguística de um território é a manifestação do comportamento linguístico do grupo ou da comunidade, e como nossa pesquisa está inserida em um contexto de imigração em que duas línguas alóctones</w:t>
      </w:r>
      <w:r w:rsidRPr="00C11655">
        <w:rPr>
          <w:rFonts w:ascii="Times New Roman" w:hAnsi="Times New Roman" w:cs="Times New Roman"/>
          <w:sz w:val="24"/>
          <w:szCs w:val="24"/>
          <w:vertAlign w:val="superscript"/>
        </w:rPr>
        <w:footnoteReference w:id="7"/>
      </w:r>
      <w:r w:rsidRPr="00C11655">
        <w:rPr>
          <w:rFonts w:ascii="Times New Roman" w:hAnsi="Times New Roman" w:cs="Times New Roman"/>
          <w:sz w:val="24"/>
          <w:szCs w:val="24"/>
        </w:rPr>
        <w:t xml:space="preserve"> – o Plautdietsch e o Hochdeutsch – circulam nas interações sociais, juntamente da língua oficial – o Português, a problematização das práticas linguísticas são observadas a partir desse objeto de análise. Nesse sentido, atribui-se o estudo por meio das políticas linguísticas implícitas, ou seja, aquela que é praticada pelos usos linguísticos dos falantes, mas que,</w:t>
      </w:r>
      <w:r w:rsidR="00FC20AD">
        <w:rPr>
          <w:rFonts w:ascii="Times New Roman" w:hAnsi="Times New Roman" w:cs="Times New Roman"/>
          <w:sz w:val="24"/>
          <w:szCs w:val="24"/>
        </w:rPr>
        <w:t xml:space="preserve"> não estão fora do contexto da C</w:t>
      </w:r>
      <w:r w:rsidRPr="00C11655">
        <w:rPr>
          <w:rFonts w:ascii="Times New Roman" w:hAnsi="Times New Roman" w:cs="Times New Roman"/>
          <w:sz w:val="24"/>
          <w:szCs w:val="24"/>
        </w:rPr>
        <w:t xml:space="preserve">olônia Witmarsum (PR), um lugar “carregado” fortemente de influências históricas, culturais e linguísticas. </w:t>
      </w:r>
    </w:p>
    <w:p w:rsidR="00C11655" w:rsidRPr="00C11655" w:rsidRDefault="00C11655" w:rsidP="00C11655">
      <w:pPr>
        <w:suppressAutoHyphens/>
        <w:spacing w:after="0" w:line="240" w:lineRule="auto"/>
        <w:ind w:firstLine="709"/>
        <w:jc w:val="both"/>
        <w:rPr>
          <w:rFonts w:ascii="Times New Roman" w:hAnsi="Times New Roman" w:cs="Times New Roman"/>
          <w:sz w:val="24"/>
          <w:szCs w:val="24"/>
        </w:rPr>
      </w:pPr>
      <w:r w:rsidRPr="00C11655">
        <w:rPr>
          <w:rFonts w:ascii="Times New Roman" w:hAnsi="Times New Roman" w:cs="Times New Roman"/>
          <w:sz w:val="24"/>
          <w:szCs w:val="24"/>
        </w:rPr>
        <w:t xml:space="preserve">No entanto, Barni (2008 </w:t>
      </w:r>
      <w:r w:rsidRPr="00C11655">
        <w:rPr>
          <w:rFonts w:ascii="Times New Roman" w:hAnsi="Times New Roman" w:cs="Times New Roman"/>
          <w:i/>
          <w:sz w:val="24"/>
          <w:szCs w:val="24"/>
        </w:rPr>
        <w:t>apud</w:t>
      </w:r>
      <w:r w:rsidRPr="00C11655">
        <w:rPr>
          <w:rFonts w:ascii="Times New Roman" w:hAnsi="Times New Roman" w:cs="Times New Roman"/>
          <w:sz w:val="24"/>
          <w:szCs w:val="24"/>
        </w:rPr>
        <w:t xml:space="preserve"> Begatto; Hélot, 2010, p. 277) explica que “A relação com o território físico não é, portanto, apenas de suporte ou entorno, um simples </w:t>
      </w:r>
      <w:r w:rsidRPr="00C11655">
        <w:rPr>
          <w:rFonts w:ascii="Times New Roman" w:hAnsi="Times New Roman" w:cs="Times New Roman"/>
          <w:sz w:val="24"/>
          <w:szCs w:val="24"/>
        </w:rPr>
        <w:lastRenderedPageBreak/>
        <w:t>panorama em que podem ser vistas as línguas imigrantes, mas é ele próprio um fator de construção de significado dessas línguas</w:t>
      </w:r>
      <w:r w:rsidRPr="00C11655">
        <w:rPr>
          <w:rFonts w:ascii="Times New Roman" w:hAnsi="Times New Roman" w:cs="Times New Roman"/>
          <w:sz w:val="24"/>
          <w:szCs w:val="24"/>
          <w:vertAlign w:val="superscript"/>
        </w:rPr>
        <w:footnoteReference w:id="8"/>
      </w:r>
      <w:r w:rsidRPr="00C11655">
        <w:rPr>
          <w:rFonts w:ascii="Times New Roman" w:hAnsi="Times New Roman" w:cs="Times New Roman"/>
          <w:sz w:val="24"/>
          <w:szCs w:val="24"/>
        </w:rPr>
        <w:t>”.</w:t>
      </w:r>
      <w:r w:rsidR="00FC20AD">
        <w:rPr>
          <w:rFonts w:ascii="Times New Roman" w:hAnsi="Times New Roman" w:cs="Times New Roman"/>
          <w:sz w:val="24"/>
          <w:szCs w:val="24"/>
        </w:rPr>
        <w:t xml:space="preserve"> Com efeito, a C</w:t>
      </w:r>
      <w:r w:rsidRPr="00C11655">
        <w:rPr>
          <w:rFonts w:ascii="Times New Roman" w:hAnsi="Times New Roman" w:cs="Times New Roman"/>
          <w:sz w:val="24"/>
          <w:szCs w:val="24"/>
        </w:rPr>
        <w:t>olônia Witmarsum (PR) favorece um ambiente significativo às práticas e aos usos linguísticos, as línguas visíveis nesse espaço não teriam o mesmo significado em outro contexto. A carga cultural e histórica emanada pelo território com seus costumes, tradições e práticas sociais são por si só um campo de simbologia, sendo que a língua ou as línguas representadas na paisagem linguística são um reflexo do multilinguismo e da diversidade cultural do local.</w:t>
      </w:r>
    </w:p>
    <w:p w:rsidR="00C11655" w:rsidRPr="00C11655" w:rsidRDefault="00FC20AD" w:rsidP="00C11655">
      <w:pPr>
        <w:suppressAutoHyphens/>
        <w:spacing w:after="0" w:afterAutospacing="1" w:line="240" w:lineRule="auto"/>
        <w:jc w:val="both"/>
        <w:outlineLvl w:val="0"/>
        <w:rPr>
          <w:rFonts w:ascii="Times New Roman" w:hAnsi="Times New Roman" w:cs="Times New Roman"/>
          <w:sz w:val="24"/>
          <w:szCs w:val="24"/>
        </w:rPr>
      </w:pPr>
      <w:r>
        <w:rPr>
          <w:rFonts w:ascii="Times New Roman" w:hAnsi="Times New Roman" w:cs="Times New Roman"/>
          <w:sz w:val="24"/>
          <w:szCs w:val="24"/>
        </w:rPr>
        <w:tab/>
        <w:t>De acordo com Berger</w:t>
      </w:r>
    </w:p>
    <w:p w:rsidR="00C11655" w:rsidRPr="00C11655" w:rsidRDefault="00C11655" w:rsidP="00C11655">
      <w:pPr>
        <w:suppressAutoHyphens/>
        <w:spacing w:after="0" w:afterAutospacing="1" w:line="240" w:lineRule="auto"/>
        <w:ind w:left="2268"/>
        <w:jc w:val="both"/>
        <w:outlineLvl w:val="0"/>
        <w:rPr>
          <w:rFonts w:ascii="Times New Roman" w:eastAsia="Times New Roman" w:hAnsi="Times New Roman" w:cs="Times New Roman"/>
          <w:bCs/>
          <w:kern w:val="2"/>
          <w:sz w:val="20"/>
          <w:szCs w:val="20"/>
          <w:lang w:eastAsia="pt-BR"/>
        </w:rPr>
      </w:pPr>
      <w:r w:rsidRPr="00C11655">
        <w:rPr>
          <w:rFonts w:ascii="Times New Roman" w:eastAsia="Times New Roman" w:hAnsi="Times New Roman" w:cs="Times New Roman"/>
          <w:bCs/>
          <w:kern w:val="2"/>
          <w:sz w:val="20"/>
          <w:szCs w:val="20"/>
          <w:lang w:eastAsia="pt-BR"/>
        </w:rPr>
        <w:t xml:space="preserve">A </w:t>
      </w:r>
      <w:r w:rsidRPr="00C11655">
        <w:rPr>
          <w:rFonts w:ascii="Times New Roman" w:eastAsia="Times New Roman" w:hAnsi="Times New Roman" w:cs="Times New Roman"/>
          <w:b/>
          <w:bCs/>
          <w:kern w:val="2"/>
          <w:sz w:val="20"/>
          <w:szCs w:val="20"/>
          <w:lang w:eastAsia="pt-BR"/>
        </w:rPr>
        <w:t>presença</w:t>
      </w:r>
      <w:r w:rsidRPr="00C11655">
        <w:rPr>
          <w:rFonts w:ascii="Times New Roman" w:eastAsia="Times New Roman" w:hAnsi="Times New Roman" w:cs="Times New Roman"/>
          <w:bCs/>
          <w:kern w:val="2"/>
          <w:sz w:val="20"/>
          <w:szCs w:val="20"/>
          <w:lang w:eastAsia="pt-BR"/>
        </w:rPr>
        <w:t xml:space="preserve"> de uma ou mais línguas em dado espaço pode ser fruto de estratégias ou práticas de gestão. A </w:t>
      </w:r>
      <w:r w:rsidRPr="00C11655">
        <w:rPr>
          <w:rFonts w:ascii="Times New Roman" w:eastAsia="Times New Roman" w:hAnsi="Times New Roman" w:cs="Times New Roman"/>
          <w:b/>
          <w:bCs/>
          <w:kern w:val="2"/>
          <w:sz w:val="20"/>
          <w:szCs w:val="20"/>
          <w:lang w:eastAsia="pt-BR"/>
        </w:rPr>
        <w:t>ausência</w:t>
      </w:r>
      <w:r w:rsidRPr="00C11655">
        <w:rPr>
          <w:rFonts w:ascii="Times New Roman" w:eastAsia="Times New Roman" w:hAnsi="Times New Roman" w:cs="Times New Roman"/>
          <w:bCs/>
          <w:kern w:val="2"/>
          <w:sz w:val="20"/>
          <w:szCs w:val="20"/>
          <w:lang w:eastAsia="pt-BR"/>
        </w:rPr>
        <w:t xml:space="preserve"> de uma língua em dado espaço, do mesmo modo, pode ser também o efeito de ações com vistas ao silenciamento, apagamento e/ou deslocamento dessas línguas, ou seja, a produção da inexistência, da invisibilidade nesse espaço. (BERGER, 2015, p. 58 grifos nossos).</w:t>
      </w:r>
    </w:p>
    <w:p w:rsidR="00C11655" w:rsidRPr="00C11655" w:rsidRDefault="00C11655" w:rsidP="00C11655">
      <w:pPr>
        <w:suppressAutoHyphens/>
        <w:spacing w:after="0" w:line="240" w:lineRule="auto"/>
        <w:jc w:val="both"/>
        <w:rPr>
          <w:rFonts w:ascii="Times New Roman" w:hAnsi="Times New Roman" w:cs="Times New Roman"/>
          <w:sz w:val="24"/>
          <w:szCs w:val="24"/>
        </w:rPr>
      </w:pPr>
      <w:r w:rsidRPr="00C11655">
        <w:rPr>
          <w:rFonts w:ascii="Times New Roman" w:hAnsi="Times New Roman" w:cs="Times New Roman"/>
          <w:sz w:val="24"/>
          <w:szCs w:val="24"/>
        </w:rPr>
        <w:tab/>
        <w:t xml:space="preserve">A representação da(s) língua(s) no espaço público é uma ação política e ideológica, ao passo que, é uma prática social que fornece informações acerca da dinamicidade das línguas no território, isto é, como é a relação entre elas nas interações comunicativas ou simbólicas. Corroboramos com o pensamento da autora quando ela coloca que a presença da língua ou das línguas pode ser uma estratégia, afinal muitas ações </w:t>
      </w:r>
      <w:r w:rsidRPr="00C11655">
        <w:rPr>
          <w:rFonts w:ascii="Times New Roman" w:hAnsi="Times New Roman" w:cs="Times New Roman"/>
          <w:i/>
          <w:sz w:val="24"/>
          <w:szCs w:val="24"/>
        </w:rPr>
        <w:t>in vivo</w:t>
      </w:r>
      <w:r w:rsidRPr="00C11655">
        <w:rPr>
          <w:rFonts w:ascii="Times New Roman" w:hAnsi="Times New Roman" w:cs="Times New Roman"/>
          <w:sz w:val="24"/>
          <w:szCs w:val="24"/>
        </w:rPr>
        <w:t xml:space="preserve"> impulsionam intervenções </w:t>
      </w:r>
      <w:r w:rsidRPr="00C11655">
        <w:rPr>
          <w:rFonts w:ascii="Times New Roman" w:hAnsi="Times New Roman" w:cs="Times New Roman"/>
          <w:i/>
          <w:sz w:val="24"/>
          <w:szCs w:val="24"/>
        </w:rPr>
        <w:t>in vitro</w:t>
      </w:r>
      <w:r w:rsidRPr="00C11655">
        <w:rPr>
          <w:rFonts w:ascii="Times New Roman" w:hAnsi="Times New Roman" w:cs="Times New Roman"/>
          <w:sz w:val="24"/>
          <w:szCs w:val="24"/>
        </w:rPr>
        <w:t xml:space="preserve">, pois a promoção de uma língua deve-se ao seu uso entre os falantes e a sua visibilidade. Como diz Calvet (2007) de nada adianta uma intervenção política </w:t>
      </w:r>
      <w:r w:rsidRPr="00C11655">
        <w:rPr>
          <w:rFonts w:ascii="Times New Roman" w:hAnsi="Times New Roman" w:cs="Times New Roman"/>
          <w:i/>
          <w:sz w:val="24"/>
          <w:szCs w:val="24"/>
        </w:rPr>
        <w:t xml:space="preserve">in vitro </w:t>
      </w:r>
      <w:r w:rsidRPr="00C11655">
        <w:rPr>
          <w:rFonts w:ascii="Times New Roman" w:hAnsi="Times New Roman" w:cs="Times New Roman"/>
          <w:sz w:val="24"/>
          <w:szCs w:val="24"/>
        </w:rPr>
        <w:t>se a língua não faz parte do cotidiano dos falantes. No entanto, se a língua não está visível no espaço público essa tem a tendência de apagamento, de esquecimento, visto que, a paisagem linguística constitui-se como fator preponderante na manutenção e na revitalização das línguas, devido a sua função visual.</w:t>
      </w:r>
    </w:p>
    <w:p w:rsidR="00C11655" w:rsidRDefault="00C11655" w:rsidP="00C11655">
      <w:pPr>
        <w:suppressAutoHyphens/>
        <w:spacing w:after="0" w:line="240" w:lineRule="auto"/>
        <w:jc w:val="both"/>
        <w:rPr>
          <w:rFonts w:ascii="Times New Roman" w:hAnsi="Times New Roman" w:cs="Times New Roman"/>
          <w:b/>
          <w:sz w:val="24"/>
          <w:szCs w:val="24"/>
        </w:rPr>
      </w:pPr>
    </w:p>
    <w:p w:rsidR="005C34B3" w:rsidRPr="00C11655" w:rsidRDefault="005C34B3" w:rsidP="00C11655">
      <w:pPr>
        <w:suppressAutoHyphens/>
        <w:spacing w:after="0" w:line="240" w:lineRule="auto"/>
        <w:jc w:val="both"/>
        <w:rPr>
          <w:rFonts w:ascii="Times New Roman" w:hAnsi="Times New Roman" w:cs="Times New Roman"/>
          <w:b/>
          <w:sz w:val="24"/>
          <w:szCs w:val="24"/>
        </w:rPr>
      </w:pPr>
    </w:p>
    <w:p w:rsidR="00F64385" w:rsidRPr="005C34B3" w:rsidRDefault="00487A02" w:rsidP="005C34B3">
      <w:pPr>
        <w:pStyle w:val="PargrafodaLista"/>
        <w:numPr>
          <w:ilvl w:val="0"/>
          <w:numId w:val="2"/>
        </w:numPr>
        <w:spacing w:after="0" w:line="240" w:lineRule="auto"/>
        <w:jc w:val="both"/>
        <w:rPr>
          <w:rFonts w:ascii="Times New Roman" w:hAnsi="Times New Roman" w:cs="Times New Roman"/>
          <w:b/>
          <w:sz w:val="24"/>
          <w:szCs w:val="24"/>
        </w:rPr>
      </w:pPr>
      <w:r w:rsidRPr="005C34B3">
        <w:rPr>
          <w:rFonts w:ascii="Times New Roman" w:hAnsi="Times New Roman" w:cs="Times New Roman"/>
          <w:b/>
          <w:sz w:val="24"/>
          <w:szCs w:val="24"/>
        </w:rPr>
        <w:t xml:space="preserve">A </w:t>
      </w:r>
      <w:r w:rsidR="00F64385" w:rsidRPr="005C34B3">
        <w:rPr>
          <w:rFonts w:ascii="Times New Roman" w:hAnsi="Times New Roman" w:cs="Times New Roman"/>
          <w:b/>
          <w:sz w:val="24"/>
          <w:szCs w:val="24"/>
        </w:rPr>
        <w:t xml:space="preserve">Colônia Witmarsum </w:t>
      </w:r>
      <w:r w:rsidRPr="005C34B3">
        <w:rPr>
          <w:rFonts w:ascii="Times New Roman" w:hAnsi="Times New Roman" w:cs="Times New Roman"/>
          <w:b/>
          <w:sz w:val="24"/>
          <w:szCs w:val="24"/>
        </w:rPr>
        <w:t>e as línguas em contato</w:t>
      </w:r>
    </w:p>
    <w:p w:rsidR="00F64385" w:rsidRPr="00F64385" w:rsidRDefault="00F64385" w:rsidP="00F64385">
      <w:pPr>
        <w:spacing w:after="0" w:line="240" w:lineRule="auto"/>
        <w:ind w:firstLine="708"/>
        <w:jc w:val="both"/>
        <w:rPr>
          <w:rFonts w:ascii="Times New Roman" w:hAnsi="Times New Roman" w:cs="Times New Roman"/>
          <w:b/>
          <w:sz w:val="24"/>
          <w:szCs w:val="24"/>
        </w:rPr>
      </w:pPr>
      <w:r w:rsidRPr="00F64385">
        <w:rPr>
          <w:rFonts w:ascii="Times New Roman" w:hAnsi="Times New Roman" w:cs="Times New Roman"/>
          <w:sz w:val="24"/>
          <w:szCs w:val="24"/>
        </w:rPr>
        <w:t>A Colônia Witmarsum está situada no município de Palmeira (PR), no Segundo Planalto Paranaense ou Planalto de Ponta Grossa, nos Campos Gerais.  Localizada a 60 Km de Curitiba (PR), a 50 Km de Ponta Grossa (PR) e a 23 Km da sede do município, com aproximadamente 3000 habitantes,</w:t>
      </w:r>
      <w:r w:rsidRPr="00F64385">
        <w:rPr>
          <w:rFonts w:ascii="Times New Roman" w:hAnsi="Times New Roman" w:cs="Times New Roman"/>
          <w:sz w:val="24"/>
          <w:szCs w:val="24"/>
          <w:shd w:val="clear" w:color="auto" w:fill="FFFFFF"/>
        </w:rPr>
        <w:t xml:space="preserve"> </w:t>
      </w:r>
      <w:r w:rsidRPr="00F64385">
        <w:rPr>
          <w:rFonts w:ascii="Times New Roman" w:hAnsi="Times New Roman" w:cs="Times New Roman"/>
          <w:sz w:val="24"/>
          <w:szCs w:val="24"/>
        </w:rPr>
        <w:t>e uma área de 7800 hectares, dividida em cinco aldeias numeradas de 1 a 5, contendo 50 hectares cada uma, as quais ficam em torno do centro administrativo, comercial e social da colônia – a antiga sede da Fazenda Cancela</w:t>
      </w:r>
      <w:r w:rsidRPr="00F64385">
        <w:rPr>
          <w:rFonts w:ascii="Times New Roman" w:hAnsi="Times New Roman" w:cs="Times New Roman"/>
          <w:sz w:val="24"/>
          <w:szCs w:val="24"/>
          <w:vertAlign w:val="superscript"/>
        </w:rPr>
        <w:footnoteReference w:id="9"/>
      </w:r>
      <w:r w:rsidRPr="00F64385">
        <w:rPr>
          <w:rFonts w:ascii="Times New Roman" w:hAnsi="Times New Roman" w:cs="Times New Roman"/>
          <w:sz w:val="24"/>
          <w:szCs w:val="24"/>
        </w:rPr>
        <w:t>.</w:t>
      </w:r>
    </w:p>
    <w:p w:rsidR="00F64385" w:rsidRPr="00F64385" w:rsidRDefault="00F64385" w:rsidP="00487A02">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lang w:eastAsia="pt-BR"/>
        </w:rPr>
        <w:t xml:space="preserve">A formação da Colônia Witmarsum, segundo Balhana </w:t>
      </w:r>
      <w:r w:rsidRPr="00F64385">
        <w:rPr>
          <w:rFonts w:ascii="Times New Roman" w:hAnsi="Times New Roman" w:cs="Times New Roman"/>
          <w:i/>
          <w:sz w:val="24"/>
          <w:szCs w:val="24"/>
          <w:lang w:eastAsia="pt-BR"/>
        </w:rPr>
        <w:t>et al.</w:t>
      </w:r>
      <w:r w:rsidRPr="00F64385">
        <w:rPr>
          <w:rFonts w:ascii="Times New Roman" w:hAnsi="Times New Roman" w:cs="Times New Roman"/>
          <w:sz w:val="24"/>
          <w:szCs w:val="24"/>
          <w:lang w:eastAsia="pt-BR"/>
        </w:rPr>
        <w:t xml:space="preserve"> (1969, p. 227), “[...] resultou de um movimento colonizador espontâneo, realizado por reimigrantes menonitas que, anteriormente, se haviam estabelecido em Santa Catarina”. </w:t>
      </w:r>
      <w:r w:rsidRPr="00F64385">
        <w:rPr>
          <w:rFonts w:ascii="Times New Roman" w:hAnsi="Times New Roman" w:cs="Times New Roman"/>
          <w:sz w:val="24"/>
          <w:szCs w:val="24"/>
        </w:rPr>
        <w:t xml:space="preserve">Em 1934, uma parte do grupo chegou ao Paraná, na cidade de Curitiba, outra deslocou-se para Blumenau (SC) e São Paulo (SP). Assim, Curitiba foi a cidade pioneira da imigração menonita onde os bairros de Boqueirão, Xaxim, Vila Guaíra e Água Verde acolheram o grupo. Já em 1948, oitenta e seis famílias que se estabeleceram em Santa Catarina foram para o Rio Grande do Sul, próximo a Bagé (RS) e fundaram a Colônia Nova (DÜCK, 2005). E, em 1951, “As terras, onde hoje é a colônia Witmarsum, foram compradas por sessenta famílias de </w:t>
      </w:r>
      <w:r w:rsidRPr="00F64385">
        <w:rPr>
          <w:rFonts w:ascii="Times New Roman" w:hAnsi="Times New Roman" w:cs="Times New Roman"/>
          <w:sz w:val="24"/>
          <w:szCs w:val="24"/>
        </w:rPr>
        <w:lastRenderedPageBreak/>
        <w:t>imigrantes que moravam em Santa Catarina, e constituíam o território da Fazenda Cancela” (TEIXEIRA, 2019, p. 32).</w:t>
      </w:r>
    </w:p>
    <w:p w:rsidR="00F64385" w:rsidRPr="00F64385" w:rsidRDefault="00F64385"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b/>
          <w:sz w:val="24"/>
          <w:szCs w:val="24"/>
        </w:rPr>
        <w:tab/>
      </w:r>
      <w:r w:rsidR="00487A02">
        <w:rPr>
          <w:rFonts w:ascii="Times New Roman" w:hAnsi="Times New Roman" w:cs="Times New Roman"/>
          <w:sz w:val="24"/>
          <w:szCs w:val="24"/>
        </w:rPr>
        <w:t>No que diz respeito à</w:t>
      </w:r>
      <w:r w:rsidRPr="00F64385">
        <w:rPr>
          <w:rFonts w:ascii="Times New Roman" w:hAnsi="Times New Roman" w:cs="Times New Roman"/>
          <w:sz w:val="24"/>
          <w:szCs w:val="24"/>
        </w:rPr>
        <w:t>s situações de contato entre as línguas</w:t>
      </w:r>
      <w:r w:rsidR="00487A02">
        <w:rPr>
          <w:rFonts w:ascii="Times New Roman" w:hAnsi="Times New Roman" w:cs="Times New Roman"/>
          <w:sz w:val="24"/>
          <w:szCs w:val="24"/>
        </w:rPr>
        <w:t>, elas</w:t>
      </w:r>
      <w:r w:rsidRPr="00F64385">
        <w:rPr>
          <w:rFonts w:ascii="Times New Roman" w:hAnsi="Times New Roman" w:cs="Times New Roman"/>
          <w:sz w:val="24"/>
          <w:szCs w:val="24"/>
        </w:rPr>
        <w:t xml:space="preserve"> não ocorrem de forma isolada, visto que, os fatores geográfico, histórico e político influenciam na intensidade dessas interaçõ</w:t>
      </w:r>
      <w:r w:rsidR="00FC20AD">
        <w:rPr>
          <w:rFonts w:ascii="Times New Roman" w:hAnsi="Times New Roman" w:cs="Times New Roman"/>
          <w:sz w:val="24"/>
          <w:szCs w:val="24"/>
        </w:rPr>
        <w:t xml:space="preserve">es. Segundo Savedra </w:t>
      </w:r>
      <w:r w:rsidR="00FC20AD" w:rsidRPr="00FC20AD">
        <w:rPr>
          <w:rFonts w:ascii="Times New Roman" w:hAnsi="Times New Roman" w:cs="Times New Roman"/>
          <w:i/>
          <w:sz w:val="24"/>
          <w:szCs w:val="24"/>
        </w:rPr>
        <w:t>et al.</w:t>
      </w:r>
      <w:r w:rsidRPr="00F64385">
        <w:rPr>
          <w:rFonts w:ascii="Times New Roman" w:hAnsi="Times New Roman" w:cs="Times New Roman"/>
          <w:sz w:val="24"/>
          <w:szCs w:val="24"/>
        </w:rPr>
        <w:t xml:space="preserve"> (2015, p. 1) “Cada situação de contato é única, social e individualmente, e é delimitada [...] pelo seu uso em diferentes situações de comunicação que podem vir a provocar fenômenos de manutenção, perda e/ou revitalização das línguas em situação de contato”. </w:t>
      </w:r>
    </w:p>
    <w:p w:rsidR="00F64385" w:rsidRPr="00F64385" w:rsidRDefault="00F64385" w:rsidP="00F64385">
      <w:pPr>
        <w:suppressAutoHyphens/>
        <w:spacing w:after="0" w:line="240" w:lineRule="auto"/>
        <w:ind w:firstLine="709"/>
        <w:jc w:val="both"/>
        <w:rPr>
          <w:rFonts w:ascii="Times New Roman" w:hAnsi="Times New Roman" w:cs="Times New Roman"/>
          <w:sz w:val="24"/>
          <w:szCs w:val="24"/>
        </w:rPr>
      </w:pPr>
      <w:r w:rsidRPr="00F64385">
        <w:rPr>
          <w:rFonts w:ascii="Times New Roman" w:hAnsi="Times New Roman" w:cs="Times New Roman"/>
          <w:sz w:val="24"/>
          <w:szCs w:val="24"/>
        </w:rPr>
        <w:t>A Colônia Witmarsum é constituída linguisticamente por duas línguas de base germânica – o Plautdietsch</w:t>
      </w:r>
      <w:r w:rsidRPr="00F64385">
        <w:rPr>
          <w:rFonts w:ascii="Times New Roman" w:hAnsi="Times New Roman" w:cs="Times New Roman"/>
          <w:sz w:val="24"/>
          <w:szCs w:val="24"/>
          <w:vertAlign w:val="superscript"/>
        </w:rPr>
        <w:footnoteReference w:id="10"/>
      </w:r>
      <w:r w:rsidRPr="00F64385">
        <w:rPr>
          <w:rFonts w:ascii="Times New Roman" w:hAnsi="Times New Roman" w:cs="Times New Roman"/>
          <w:sz w:val="24"/>
          <w:szCs w:val="24"/>
        </w:rPr>
        <w:t xml:space="preserve"> – também denominado como baixo alemão; o Hochdeutsch – alemão padrão ou </w:t>
      </w:r>
      <w:r w:rsidRPr="00F64385">
        <w:rPr>
          <w:rFonts w:ascii="Times New Roman" w:hAnsi="Times New Roman" w:cs="Times New Roman"/>
          <w:i/>
          <w:sz w:val="24"/>
          <w:szCs w:val="24"/>
        </w:rPr>
        <w:t xml:space="preserve">standart, </w:t>
      </w:r>
      <w:r w:rsidRPr="00F64385">
        <w:rPr>
          <w:rFonts w:ascii="Times New Roman" w:hAnsi="Times New Roman" w:cs="Times New Roman"/>
          <w:sz w:val="24"/>
          <w:szCs w:val="24"/>
        </w:rPr>
        <w:t>e pelo Português – língua oficial do Brasil. O lugar é considerado uma ilha linguística, devido ao contexto em que a língua alemã (dialeto e alemão padrão) circula em contato com a língua portuguesa diariamente, logo, configura-se como um local em que a diversidade linguística encontra-se eminente nas relações comunicativas e simbólicas. São falados, pela maioria das famílias, tanto o dialeto, quanto o alemão padrão, apesar de o Plautdietsch estar em declínio pelos falantes, ainda está vivo no âmbito familiar e nas gerações mais velhas. Já o Hochdeutsch é mais usado entre os moradores devido à influência da escola, na qual apresenta o ensino da língua em seu currículo, sendo que, para os já falantes, configura-se como língua materna</w:t>
      </w:r>
      <w:r w:rsidRPr="00F64385">
        <w:rPr>
          <w:rFonts w:ascii="Times New Roman" w:hAnsi="Times New Roman" w:cs="Times New Roman"/>
          <w:sz w:val="24"/>
          <w:szCs w:val="24"/>
          <w:vertAlign w:val="superscript"/>
        </w:rPr>
        <w:footnoteReference w:id="11"/>
      </w:r>
      <w:r w:rsidRPr="00F64385">
        <w:rPr>
          <w:rFonts w:ascii="Times New Roman" w:hAnsi="Times New Roman" w:cs="Times New Roman"/>
          <w:sz w:val="24"/>
          <w:szCs w:val="24"/>
        </w:rPr>
        <w:t>; e para os não falantes, como segunda língua</w:t>
      </w:r>
      <w:r w:rsidRPr="00F64385">
        <w:rPr>
          <w:rFonts w:ascii="Times New Roman" w:hAnsi="Times New Roman" w:cs="Times New Roman"/>
          <w:sz w:val="24"/>
          <w:szCs w:val="24"/>
          <w:vertAlign w:val="superscript"/>
        </w:rPr>
        <w:footnoteReference w:id="12"/>
      </w:r>
      <w:r w:rsidRPr="00F64385">
        <w:rPr>
          <w:rFonts w:ascii="Times New Roman" w:hAnsi="Times New Roman" w:cs="Times New Roman"/>
          <w:sz w:val="24"/>
          <w:szCs w:val="24"/>
        </w:rPr>
        <w:t>.</w:t>
      </w:r>
    </w:p>
    <w:p w:rsidR="00F64385" w:rsidRPr="00F64385" w:rsidRDefault="00F64385" w:rsidP="00C11655">
      <w:pPr>
        <w:spacing w:line="240" w:lineRule="auto"/>
        <w:jc w:val="both"/>
        <w:rPr>
          <w:rFonts w:ascii="Times New Roman" w:hAnsi="Times New Roman" w:cs="Times New Roman"/>
          <w:b/>
          <w:sz w:val="24"/>
          <w:szCs w:val="24"/>
        </w:rPr>
      </w:pPr>
    </w:p>
    <w:p w:rsidR="00F64385" w:rsidRPr="005C34B3" w:rsidRDefault="00487A02" w:rsidP="005C34B3">
      <w:pPr>
        <w:pStyle w:val="PargrafodaLista"/>
        <w:numPr>
          <w:ilvl w:val="0"/>
          <w:numId w:val="2"/>
        </w:numPr>
        <w:suppressAutoHyphens/>
        <w:spacing w:after="0" w:line="240" w:lineRule="auto"/>
        <w:jc w:val="both"/>
        <w:rPr>
          <w:rFonts w:ascii="Times New Roman" w:hAnsi="Times New Roman" w:cs="Times New Roman"/>
          <w:b/>
          <w:sz w:val="24"/>
          <w:szCs w:val="24"/>
        </w:rPr>
      </w:pPr>
      <w:r w:rsidRPr="005C34B3">
        <w:rPr>
          <w:rFonts w:ascii="Times New Roman" w:hAnsi="Times New Roman" w:cs="Times New Roman"/>
          <w:b/>
          <w:sz w:val="24"/>
          <w:szCs w:val="24"/>
        </w:rPr>
        <w:t xml:space="preserve">Como as línguas de imigração </w:t>
      </w:r>
      <w:r w:rsidR="00F70D5D" w:rsidRPr="005C34B3">
        <w:rPr>
          <w:rFonts w:ascii="Times New Roman" w:hAnsi="Times New Roman" w:cs="Times New Roman"/>
          <w:b/>
          <w:sz w:val="24"/>
          <w:szCs w:val="24"/>
        </w:rPr>
        <w:t>“</w:t>
      </w:r>
      <w:r w:rsidRPr="005C34B3">
        <w:rPr>
          <w:rFonts w:ascii="Times New Roman" w:hAnsi="Times New Roman" w:cs="Times New Roman"/>
          <w:b/>
          <w:sz w:val="24"/>
          <w:szCs w:val="24"/>
        </w:rPr>
        <w:t>falam</w:t>
      </w:r>
      <w:r w:rsidR="00F70D5D" w:rsidRPr="005C34B3">
        <w:rPr>
          <w:rFonts w:ascii="Times New Roman" w:hAnsi="Times New Roman" w:cs="Times New Roman"/>
          <w:b/>
          <w:sz w:val="24"/>
          <w:szCs w:val="24"/>
        </w:rPr>
        <w:t>”</w:t>
      </w:r>
      <w:r w:rsidRPr="005C34B3">
        <w:rPr>
          <w:rFonts w:ascii="Times New Roman" w:hAnsi="Times New Roman" w:cs="Times New Roman"/>
          <w:b/>
          <w:sz w:val="24"/>
          <w:szCs w:val="24"/>
        </w:rPr>
        <w:t xml:space="preserve"> na paisagem linguística</w:t>
      </w:r>
      <w:r w:rsidR="00FC20AD" w:rsidRPr="005C34B3">
        <w:rPr>
          <w:rFonts w:ascii="Times New Roman" w:hAnsi="Times New Roman" w:cs="Times New Roman"/>
          <w:b/>
          <w:sz w:val="24"/>
          <w:szCs w:val="24"/>
        </w:rPr>
        <w:t xml:space="preserve"> da Colônia Witmarsum</w:t>
      </w:r>
      <w:r w:rsidR="00F64385" w:rsidRPr="005C34B3">
        <w:rPr>
          <w:rFonts w:ascii="Times New Roman" w:hAnsi="Times New Roman" w:cs="Times New Roman"/>
          <w:b/>
          <w:sz w:val="24"/>
          <w:szCs w:val="24"/>
        </w:rPr>
        <w:t>?</w:t>
      </w:r>
    </w:p>
    <w:p w:rsidR="00F64385" w:rsidRPr="00F64385" w:rsidRDefault="00F64385" w:rsidP="00F64385">
      <w:pPr>
        <w:suppressAutoHyphens/>
        <w:spacing w:after="0" w:line="240" w:lineRule="auto"/>
        <w:ind w:firstLine="708"/>
        <w:jc w:val="both"/>
        <w:rPr>
          <w:rFonts w:ascii="Times New Roman" w:hAnsi="Times New Roman" w:cs="Times New Roman"/>
          <w:b/>
          <w:sz w:val="24"/>
          <w:szCs w:val="24"/>
        </w:rPr>
      </w:pPr>
      <w:r w:rsidRPr="00F64385">
        <w:rPr>
          <w:rFonts w:ascii="Times New Roman" w:hAnsi="Times New Roman" w:cs="Times New Roman"/>
          <w:sz w:val="24"/>
          <w:szCs w:val="24"/>
        </w:rPr>
        <w:t>De acord</w:t>
      </w:r>
      <w:r w:rsidR="00580161">
        <w:rPr>
          <w:rFonts w:ascii="Times New Roman" w:hAnsi="Times New Roman" w:cs="Times New Roman"/>
          <w:sz w:val="24"/>
          <w:szCs w:val="24"/>
        </w:rPr>
        <w:t xml:space="preserve">o com Silva </w:t>
      </w:r>
      <w:r w:rsidR="00580161" w:rsidRPr="00580161">
        <w:rPr>
          <w:rFonts w:ascii="Times New Roman" w:hAnsi="Times New Roman" w:cs="Times New Roman"/>
          <w:i/>
          <w:sz w:val="24"/>
          <w:szCs w:val="24"/>
        </w:rPr>
        <w:t>et al.</w:t>
      </w:r>
      <w:r w:rsidRPr="00F64385">
        <w:rPr>
          <w:rFonts w:ascii="Times New Roman" w:hAnsi="Times New Roman" w:cs="Times New Roman"/>
          <w:sz w:val="24"/>
          <w:szCs w:val="24"/>
        </w:rPr>
        <w:t xml:space="preserve"> (2016, p. 1262), “a paisagem linguística de uma região, além de evidenciar como o multilinguismo é semiotizado no espaço público, pode funcionar como um marcador ‘informativo’ e ‘simbólico’ do poder e do </w:t>
      </w:r>
      <w:r w:rsidRPr="00F64385">
        <w:rPr>
          <w:rFonts w:ascii="Times New Roman" w:hAnsi="Times New Roman" w:cs="Times New Roman"/>
          <w:i/>
          <w:sz w:val="24"/>
          <w:szCs w:val="24"/>
        </w:rPr>
        <w:t>status</w:t>
      </w:r>
      <w:r w:rsidRPr="00F64385">
        <w:rPr>
          <w:rFonts w:ascii="Times New Roman" w:hAnsi="Times New Roman" w:cs="Times New Roman"/>
          <w:sz w:val="24"/>
          <w:szCs w:val="24"/>
        </w:rPr>
        <w:t xml:space="preserve"> das comunidades linguísticas que habitam o território”. A partir dessa citação apresentamos como os atores dos sinais articulam suas vozes no espaço público - um lugar em que é contextualizado por influências extralinguísticas e muito significativas para as práticas sociais, como a condição histórica de fundação da colônia e o grupo étnico e religioso que trouxe na “bagagem” a cultura. De fato, o multilinguismo influencia os usos lingu</w:t>
      </w:r>
      <w:r w:rsidR="00FC20AD">
        <w:rPr>
          <w:rFonts w:ascii="Times New Roman" w:hAnsi="Times New Roman" w:cs="Times New Roman"/>
          <w:sz w:val="24"/>
          <w:szCs w:val="24"/>
        </w:rPr>
        <w:t>ísticos, ao passo que, as línguas escolhida</w:t>
      </w:r>
      <w:r w:rsidRPr="00F64385">
        <w:rPr>
          <w:rFonts w:ascii="Times New Roman" w:hAnsi="Times New Roman" w:cs="Times New Roman"/>
          <w:sz w:val="24"/>
          <w:szCs w:val="24"/>
        </w:rPr>
        <w:t>s por seus atores para a construção do cenário visual e lin</w:t>
      </w:r>
      <w:r w:rsidR="004818DD">
        <w:rPr>
          <w:rFonts w:ascii="Times New Roman" w:hAnsi="Times New Roman" w:cs="Times New Roman"/>
          <w:sz w:val="24"/>
          <w:szCs w:val="24"/>
        </w:rPr>
        <w:t>guístico do local não são neutra</w:t>
      </w:r>
      <w:r w:rsidRPr="00F64385">
        <w:rPr>
          <w:rFonts w:ascii="Times New Roman" w:hAnsi="Times New Roman" w:cs="Times New Roman"/>
          <w:sz w:val="24"/>
          <w:szCs w:val="24"/>
        </w:rPr>
        <w:t>s, há sempre uma intenção por parte de quem participa dessa prática social.</w:t>
      </w:r>
    </w:p>
    <w:p w:rsidR="00580161"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As marcações linguísticas corroboram para entender como e de que forma o contexto multilíngue influencia a escolha linguística dos atores</w:t>
      </w:r>
      <w:r w:rsidR="00F70D5D">
        <w:rPr>
          <w:rFonts w:ascii="Times New Roman" w:hAnsi="Times New Roman" w:cs="Times New Roman"/>
          <w:sz w:val="24"/>
          <w:szCs w:val="24"/>
        </w:rPr>
        <w:t xml:space="preserve"> sociais</w:t>
      </w:r>
      <w:r w:rsidRPr="00F64385">
        <w:rPr>
          <w:rFonts w:ascii="Times New Roman" w:hAnsi="Times New Roman" w:cs="Times New Roman"/>
          <w:sz w:val="24"/>
          <w:szCs w:val="24"/>
        </w:rPr>
        <w:t xml:space="preserve"> para representar a mensagem/o conteúdo. Vale pontuar, que isso dependerá de quem será o leitor do sinal linguístico, ou seja, a percepção será distinta, bem como sua função social. Para o leitor que domina as línguas representadas, a função será informativa; já para aqueles que não dominam, será simbólica. </w:t>
      </w:r>
    </w:p>
    <w:p w:rsidR="00F64385" w:rsidRPr="00F64385"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lastRenderedPageBreak/>
        <w:t>No entanto, indubitavelmente, ambas estão desempenhando funções sociais, e é assim que a língua funciona, ela é um dos instrumentos que condicionam o sujeito à interação. Nesse sentido, mesmo o leitor não tendo o domínio do idioma, ao visualizar a inscrição “dif</w:t>
      </w:r>
      <w:r w:rsidR="00F70D5D">
        <w:rPr>
          <w:rFonts w:ascii="Times New Roman" w:hAnsi="Times New Roman" w:cs="Times New Roman"/>
          <w:sz w:val="24"/>
          <w:szCs w:val="24"/>
        </w:rPr>
        <w:t>erente” da sua língua materna</w:t>
      </w:r>
      <w:r w:rsidRPr="00F64385">
        <w:rPr>
          <w:rFonts w:ascii="Times New Roman" w:hAnsi="Times New Roman" w:cs="Times New Roman"/>
          <w:sz w:val="24"/>
          <w:szCs w:val="24"/>
        </w:rPr>
        <w:t xml:space="preserve"> despertará em si a curiosidade pela compreensão daquela marcação, assim a paisagem linguística, de certa forma, influenciará à busca de uma língua adicional, além de propiciar ações para as práticas multilíngues.</w:t>
      </w:r>
    </w:p>
    <w:p w:rsidR="00F64385" w:rsidRPr="00F64385" w:rsidRDefault="00F64385" w:rsidP="00F64385">
      <w:pPr>
        <w:suppressAutoHyphens/>
        <w:spacing w:after="0" w:line="240" w:lineRule="auto"/>
        <w:ind w:firstLine="708"/>
        <w:jc w:val="both"/>
        <w:rPr>
          <w:rFonts w:ascii="Times New Roman" w:hAnsi="Times New Roman" w:cs="Times New Roman"/>
          <w:b/>
          <w:sz w:val="24"/>
          <w:szCs w:val="24"/>
        </w:rPr>
      </w:pPr>
    </w:p>
    <w:p w:rsidR="00F64385" w:rsidRPr="00F64385" w:rsidRDefault="00F64385" w:rsidP="00F64385">
      <w:pPr>
        <w:suppressAutoHyphens/>
        <w:spacing w:after="0" w:line="240" w:lineRule="auto"/>
        <w:jc w:val="both"/>
        <w:rPr>
          <w:rFonts w:ascii="Times New Roman" w:hAnsi="Times New Roman" w:cs="Times New Roman"/>
          <w:b/>
          <w:sz w:val="24"/>
          <w:szCs w:val="24"/>
        </w:rPr>
      </w:pPr>
    </w:p>
    <w:p w:rsidR="00F64385" w:rsidRPr="005C34B3" w:rsidRDefault="00F64385" w:rsidP="005C34B3">
      <w:pPr>
        <w:pStyle w:val="PargrafodaLista"/>
        <w:numPr>
          <w:ilvl w:val="0"/>
          <w:numId w:val="2"/>
        </w:numPr>
        <w:suppressAutoHyphens/>
        <w:spacing w:after="0" w:line="240" w:lineRule="auto"/>
        <w:jc w:val="both"/>
        <w:rPr>
          <w:rFonts w:ascii="Times New Roman" w:hAnsi="Times New Roman" w:cs="Times New Roman"/>
          <w:b/>
          <w:sz w:val="24"/>
          <w:szCs w:val="24"/>
        </w:rPr>
      </w:pPr>
      <w:r w:rsidRPr="005C34B3">
        <w:rPr>
          <w:rFonts w:ascii="Times New Roman" w:hAnsi="Times New Roman" w:cs="Times New Roman"/>
          <w:b/>
          <w:sz w:val="24"/>
          <w:szCs w:val="24"/>
        </w:rPr>
        <w:t>O Plautdietsch na paisagem linguística da Colônia Witmarsum</w:t>
      </w:r>
    </w:p>
    <w:p w:rsidR="00F64385" w:rsidRPr="00F64385" w:rsidRDefault="00F64385"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b/>
          <w:sz w:val="24"/>
          <w:szCs w:val="24"/>
        </w:rPr>
        <w:tab/>
      </w:r>
      <w:r w:rsidRPr="00F64385">
        <w:rPr>
          <w:rFonts w:ascii="Times New Roman" w:hAnsi="Times New Roman" w:cs="Times New Roman"/>
          <w:sz w:val="24"/>
          <w:szCs w:val="24"/>
        </w:rPr>
        <w:t>A “língua dos menonitas” faz parte da construção visual e linguística da colônia tanto na esfera oficial</w:t>
      </w:r>
      <w:r w:rsidR="00881434">
        <w:rPr>
          <w:rStyle w:val="Refdenotaderodap"/>
          <w:rFonts w:ascii="Times New Roman" w:hAnsi="Times New Roman" w:cs="Times New Roman"/>
          <w:sz w:val="24"/>
          <w:szCs w:val="24"/>
        </w:rPr>
        <w:footnoteReference w:id="13"/>
      </w:r>
      <w:r w:rsidRPr="00F64385">
        <w:rPr>
          <w:rFonts w:ascii="Times New Roman" w:hAnsi="Times New Roman" w:cs="Times New Roman"/>
          <w:sz w:val="24"/>
          <w:szCs w:val="24"/>
        </w:rPr>
        <w:t xml:space="preserve"> como não oficial</w:t>
      </w:r>
      <w:r w:rsidR="00881434">
        <w:rPr>
          <w:rStyle w:val="Refdenotaderodap"/>
          <w:rFonts w:ascii="Times New Roman" w:hAnsi="Times New Roman" w:cs="Times New Roman"/>
          <w:sz w:val="24"/>
          <w:szCs w:val="24"/>
        </w:rPr>
        <w:footnoteReference w:id="14"/>
      </w:r>
      <w:r w:rsidRPr="00F64385">
        <w:rPr>
          <w:rFonts w:ascii="Times New Roman" w:hAnsi="Times New Roman" w:cs="Times New Roman"/>
          <w:sz w:val="24"/>
          <w:szCs w:val="24"/>
        </w:rPr>
        <w:t>, no entanto, encontra-se, ainda, com menor visibilidade em relação ao alemão padrão, o Hochdeutsch.</w:t>
      </w:r>
      <w:r w:rsidR="00881434">
        <w:rPr>
          <w:rFonts w:ascii="Times New Roman" w:hAnsi="Times New Roman" w:cs="Times New Roman"/>
          <w:sz w:val="24"/>
          <w:szCs w:val="24"/>
        </w:rPr>
        <w:t xml:space="preserve"> Afinal, </w:t>
      </w:r>
      <w:r w:rsidR="004818DD">
        <w:rPr>
          <w:rFonts w:ascii="Times New Roman" w:hAnsi="Times New Roman" w:cs="Times New Roman"/>
          <w:sz w:val="24"/>
          <w:szCs w:val="24"/>
        </w:rPr>
        <w:t>a partir d</w:t>
      </w:r>
      <w:r w:rsidR="00FE63D7">
        <w:rPr>
          <w:rFonts w:ascii="Times New Roman" w:hAnsi="Times New Roman" w:cs="Times New Roman"/>
          <w:sz w:val="24"/>
          <w:szCs w:val="24"/>
        </w:rPr>
        <w:t>os dados leva</w:t>
      </w:r>
      <w:r w:rsidR="004818DD">
        <w:rPr>
          <w:rFonts w:ascii="Times New Roman" w:hAnsi="Times New Roman" w:cs="Times New Roman"/>
          <w:sz w:val="24"/>
          <w:szCs w:val="24"/>
        </w:rPr>
        <w:t xml:space="preserve">ntados foram </w:t>
      </w:r>
      <w:r w:rsidR="005C34B3">
        <w:rPr>
          <w:rFonts w:ascii="Times New Roman" w:hAnsi="Times New Roman" w:cs="Times New Roman"/>
          <w:sz w:val="24"/>
          <w:szCs w:val="24"/>
        </w:rPr>
        <w:t>contabilizadas</w:t>
      </w:r>
      <w:r w:rsidR="00FE63D7">
        <w:rPr>
          <w:rFonts w:ascii="Times New Roman" w:hAnsi="Times New Roman" w:cs="Times New Roman"/>
          <w:sz w:val="24"/>
          <w:szCs w:val="24"/>
        </w:rPr>
        <w:t xml:space="preserve"> 7 unidades, incluindo o </w:t>
      </w:r>
      <w:r w:rsidR="00FE63D7" w:rsidRPr="00FE63D7">
        <w:rPr>
          <w:rFonts w:ascii="Times New Roman" w:hAnsi="Times New Roman" w:cs="Times New Roman"/>
          <w:i/>
          <w:sz w:val="24"/>
          <w:szCs w:val="24"/>
        </w:rPr>
        <w:t>outdoor</w:t>
      </w:r>
      <w:r w:rsidR="00FE63D7">
        <w:rPr>
          <w:rFonts w:ascii="Times New Roman" w:hAnsi="Times New Roman" w:cs="Times New Roman"/>
          <w:sz w:val="24"/>
          <w:szCs w:val="24"/>
        </w:rPr>
        <w:t xml:space="preserve"> abaixo, o qual divulga uma ação muito significativa para o povo menonita: a cooficialização da língua Plautdietsch.</w:t>
      </w:r>
    </w:p>
    <w:p w:rsidR="00F64385" w:rsidRPr="00F64385" w:rsidRDefault="00F64385" w:rsidP="00F64385">
      <w:pPr>
        <w:suppressAutoHyphens/>
        <w:spacing w:after="0" w:line="240" w:lineRule="auto"/>
        <w:jc w:val="both"/>
        <w:rPr>
          <w:rFonts w:ascii="Times New Roman" w:hAnsi="Times New Roman" w:cs="Times New Roman"/>
          <w:sz w:val="20"/>
          <w:szCs w:val="20"/>
        </w:rPr>
      </w:pPr>
    </w:p>
    <w:p w:rsidR="00F64385" w:rsidRPr="00F64385" w:rsidRDefault="00F64385" w:rsidP="00F64385">
      <w:pPr>
        <w:shd w:val="clear" w:color="auto" w:fill="FFFFFF"/>
        <w:suppressAutoHyphens/>
        <w:spacing w:after="0" w:line="240" w:lineRule="auto"/>
        <w:jc w:val="center"/>
        <w:rPr>
          <w:rFonts w:ascii="Times New Roman" w:eastAsia="Times New Roman" w:hAnsi="Times New Roman" w:cs="Times New Roman"/>
          <w:b/>
          <w:color w:val="000000"/>
          <w:sz w:val="20"/>
          <w:szCs w:val="20"/>
          <w:lang w:eastAsia="pt-BR"/>
        </w:rPr>
      </w:pPr>
    </w:p>
    <w:p w:rsidR="00F64385" w:rsidRPr="00F64385" w:rsidRDefault="00F64385" w:rsidP="00F64385">
      <w:pPr>
        <w:shd w:val="clear" w:color="auto" w:fill="FFFFFF"/>
        <w:suppressAutoHyphens/>
        <w:spacing w:after="0" w:line="240" w:lineRule="auto"/>
        <w:jc w:val="center"/>
        <w:rPr>
          <w:rFonts w:ascii="Times New Roman" w:eastAsia="Times New Roman" w:hAnsi="Times New Roman" w:cs="Times New Roman"/>
          <w:b/>
          <w:color w:val="000000"/>
          <w:sz w:val="20"/>
          <w:szCs w:val="20"/>
          <w:lang w:eastAsia="pt-BR"/>
        </w:rPr>
      </w:pPr>
      <w:r w:rsidRPr="00F64385">
        <w:rPr>
          <w:rFonts w:ascii="Times New Roman" w:eastAsia="Times New Roman" w:hAnsi="Times New Roman" w:cs="Times New Roman"/>
          <w:b/>
          <w:color w:val="000000"/>
          <w:sz w:val="20"/>
          <w:szCs w:val="20"/>
          <w:lang w:eastAsia="pt-BR"/>
        </w:rPr>
        <w:t>Figura 1 – Placa da Cooficialização da língua Plautdietsch</w:t>
      </w:r>
    </w:p>
    <w:p w:rsidR="00F64385" w:rsidRPr="00F64385" w:rsidRDefault="00F64385" w:rsidP="00F64385">
      <w:pPr>
        <w:shd w:val="clear" w:color="auto" w:fill="FFFFFF"/>
        <w:suppressAutoHyphens/>
        <w:spacing w:after="0" w:line="240" w:lineRule="auto"/>
        <w:jc w:val="center"/>
        <w:rPr>
          <w:rFonts w:ascii="Times New Roman" w:eastAsia="Times New Roman" w:hAnsi="Times New Roman" w:cs="Times New Roman"/>
          <w:color w:val="000000"/>
          <w:sz w:val="24"/>
          <w:szCs w:val="24"/>
          <w:lang w:eastAsia="pt-BR"/>
        </w:rPr>
      </w:pPr>
      <w:r w:rsidRPr="00F64385">
        <w:rPr>
          <w:rFonts w:ascii="Times New Roman" w:hAnsi="Times New Roman" w:cs="Times New Roman"/>
          <w:noProof/>
          <w:lang w:eastAsia="pt-BR"/>
        </w:rPr>
        <w:drawing>
          <wp:inline distT="57150" distB="121920" distL="57150" distR="107315" wp14:anchorId="4717AAD6" wp14:editId="72019D9E">
            <wp:extent cx="4123055" cy="2355215"/>
            <wp:effectExtent l="76200" t="76200" r="126365" b="140970"/>
            <wp:docPr id="1" name="Picture 65" descr="C:\Users\Janaina P. Andrade\Desktop\Sinais extras\f2218483-5a80-44ca-b385-dbf58dee0ed8.jpg"/>
            <wp:cNvGraphicFramePr/>
            <a:graphic xmlns:a="http://schemas.openxmlformats.org/drawingml/2006/main">
              <a:graphicData uri="http://schemas.openxmlformats.org/drawingml/2006/picture">
                <pic:pic xmlns:pic="http://schemas.openxmlformats.org/drawingml/2006/picture">
                  <pic:nvPicPr>
                    <pic:cNvPr id="0" name="Picture 65" descr="C:\Users\Janaina P. Andrade\Desktop\Sinais extras\f2218483-5a80-44ca-b385-dbf58dee0ed8.jpg"/>
                    <pic:cNvPicPr/>
                  </pic:nvPicPr>
                  <pic:blipFill>
                    <a:blip r:embed="rId8"/>
                    <a:srcRect l="6861" t="8679" r="9057" b="17314"/>
                    <a:stretch/>
                  </pic:blipFill>
                  <pic:spPr>
                    <a:xfrm>
                      <a:off x="0" y="0"/>
                      <a:ext cx="4122360" cy="235476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inline>
        </w:drawing>
      </w:r>
    </w:p>
    <w:p w:rsidR="00F64385" w:rsidRPr="00F64385" w:rsidRDefault="00F64385" w:rsidP="00F64385">
      <w:pPr>
        <w:shd w:val="clear" w:color="auto" w:fill="FFFFFF"/>
        <w:suppressAutoHyphens/>
        <w:spacing w:after="0" w:line="240" w:lineRule="auto"/>
        <w:jc w:val="center"/>
        <w:rPr>
          <w:rFonts w:ascii="Times New Roman" w:eastAsia="Times New Roman" w:hAnsi="Times New Roman" w:cs="Times New Roman"/>
          <w:color w:val="000000"/>
          <w:sz w:val="20"/>
          <w:szCs w:val="20"/>
          <w:lang w:eastAsia="pt-BR"/>
        </w:rPr>
      </w:pPr>
      <w:r w:rsidRPr="00F64385">
        <w:rPr>
          <w:rFonts w:ascii="Times New Roman" w:eastAsia="Times New Roman" w:hAnsi="Times New Roman" w:cs="Times New Roman"/>
          <w:color w:val="000000"/>
          <w:sz w:val="20"/>
          <w:szCs w:val="20"/>
          <w:lang w:eastAsia="pt-BR"/>
        </w:rPr>
        <w:t>Fonte: Dado coletado pela autora (2022).</w:t>
      </w:r>
    </w:p>
    <w:p w:rsidR="00F64385" w:rsidRPr="00F64385" w:rsidRDefault="00F64385" w:rsidP="00F64385">
      <w:pPr>
        <w:shd w:val="clear" w:color="auto" w:fill="FFFFFF"/>
        <w:suppressAutoHyphens/>
        <w:spacing w:after="0" w:line="240" w:lineRule="auto"/>
        <w:jc w:val="both"/>
        <w:rPr>
          <w:rFonts w:ascii="Times New Roman" w:eastAsia="Times New Roman" w:hAnsi="Times New Roman" w:cs="Times New Roman"/>
          <w:color w:val="000000"/>
          <w:sz w:val="24"/>
          <w:szCs w:val="24"/>
          <w:lang w:eastAsia="pt-BR"/>
        </w:rPr>
      </w:pPr>
    </w:p>
    <w:p w:rsidR="00580161" w:rsidRDefault="00F64385" w:rsidP="00580161">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pt-BR"/>
        </w:rPr>
      </w:pPr>
      <w:r w:rsidRPr="00F64385">
        <w:rPr>
          <w:rFonts w:ascii="Times New Roman" w:eastAsia="Times New Roman" w:hAnsi="Times New Roman" w:cs="Times New Roman"/>
          <w:color w:val="000000"/>
          <w:sz w:val="24"/>
          <w:szCs w:val="24"/>
          <w:lang w:eastAsia="pt-BR"/>
        </w:rPr>
        <w:t>“Plautdietsch é a nossa Língua</w:t>
      </w:r>
      <w:r w:rsidRPr="00F64385">
        <w:rPr>
          <w:rFonts w:ascii="Times New Roman" w:eastAsia="Times New Roman" w:hAnsi="Times New Roman" w:cs="Times New Roman"/>
          <w:color w:val="000000"/>
          <w:sz w:val="24"/>
          <w:szCs w:val="24"/>
          <w:vertAlign w:val="superscript"/>
          <w:lang w:eastAsia="pt-BR"/>
        </w:rPr>
        <w:footnoteReference w:id="15"/>
      </w:r>
      <w:r w:rsidRPr="00F64385">
        <w:rPr>
          <w:rFonts w:ascii="Times New Roman" w:eastAsia="Times New Roman" w:hAnsi="Times New Roman" w:cs="Times New Roman"/>
          <w:color w:val="000000"/>
          <w:sz w:val="24"/>
          <w:szCs w:val="24"/>
          <w:lang w:eastAsia="pt-BR"/>
        </w:rPr>
        <w:t>”/ O Plautdietsch é a língua cooficial de Palmeira”. O sinal oficial bilíngue está representado em Plautdietsch e em português e marca o que Calvet (2007) chama de planejamento linguístico, ou seja, a prática, a ação. A conquista do município de Palmeira (PR) faz dele o primeiro do Paraná a cooficializar uma língua, um grande passo de implementação de uma política linguística na região, a qual é habitada por imigrantes alemães menonitas.</w:t>
      </w:r>
      <w:r w:rsidR="00580161">
        <w:rPr>
          <w:rFonts w:ascii="Times New Roman" w:eastAsia="Times New Roman" w:hAnsi="Times New Roman" w:cs="Times New Roman"/>
          <w:color w:val="000000"/>
          <w:sz w:val="24"/>
          <w:szCs w:val="24"/>
          <w:lang w:eastAsia="pt-BR"/>
        </w:rPr>
        <w:t xml:space="preserve"> </w:t>
      </w:r>
      <w:r w:rsidRPr="00F64385">
        <w:rPr>
          <w:rFonts w:ascii="Times New Roman" w:eastAsia="Times New Roman" w:hAnsi="Times New Roman" w:cs="Times New Roman"/>
          <w:color w:val="000000"/>
          <w:sz w:val="24"/>
          <w:szCs w:val="24"/>
          <w:lang w:eastAsia="pt-BR"/>
        </w:rPr>
        <w:t xml:space="preserve">A cooficialização da língua Plautdietsch foi um marco das comemorações alusivas aos 70 anos de fundação da Colônia Witmarsum, fundada em 1951, que, em 2021 completou sete décadas de costumes, de tradições e de preservação das heranças linguísticas trazidas pelos menonitas. </w:t>
      </w:r>
    </w:p>
    <w:p w:rsidR="004818DD" w:rsidRDefault="00F64385" w:rsidP="00580161">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pt-BR"/>
        </w:rPr>
      </w:pPr>
      <w:r w:rsidRPr="00F64385">
        <w:rPr>
          <w:rFonts w:ascii="Times New Roman" w:eastAsia="Times New Roman" w:hAnsi="Times New Roman" w:cs="Times New Roman"/>
          <w:color w:val="000000"/>
          <w:sz w:val="24"/>
          <w:szCs w:val="24"/>
          <w:lang w:eastAsia="pt-BR"/>
        </w:rPr>
        <w:t xml:space="preserve">Há na colônia um movimento pela visibilidade da língua Plautdietsch – a qual é a representação cultural </w:t>
      </w:r>
      <w:r w:rsidR="004818DD">
        <w:rPr>
          <w:rFonts w:ascii="Times New Roman" w:eastAsia="Times New Roman" w:hAnsi="Times New Roman" w:cs="Times New Roman"/>
          <w:color w:val="000000"/>
          <w:sz w:val="24"/>
          <w:szCs w:val="24"/>
          <w:lang w:eastAsia="pt-BR"/>
        </w:rPr>
        <w:t xml:space="preserve">e histórica </w:t>
      </w:r>
      <w:r w:rsidRPr="00F64385">
        <w:rPr>
          <w:rFonts w:ascii="Times New Roman" w:eastAsia="Times New Roman" w:hAnsi="Times New Roman" w:cs="Times New Roman"/>
          <w:color w:val="000000"/>
          <w:sz w:val="24"/>
          <w:szCs w:val="24"/>
          <w:lang w:eastAsia="pt-BR"/>
        </w:rPr>
        <w:t xml:space="preserve">do povo menonita – e, mesmo em circulação na </w:t>
      </w:r>
      <w:r w:rsidRPr="00F64385">
        <w:rPr>
          <w:rFonts w:ascii="Times New Roman" w:eastAsia="Times New Roman" w:hAnsi="Times New Roman" w:cs="Times New Roman"/>
          <w:color w:val="000000"/>
          <w:sz w:val="24"/>
          <w:szCs w:val="24"/>
          <w:lang w:eastAsia="pt-BR"/>
        </w:rPr>
        <w:lastRenderedPageBreak/>
        <w:t xml:space="preserve">interação entre as famílias tradicionais, o idioma está gradativamente perdendo sua vitalidade, afinal o Hochdeutsch e o português são mais usados na comunicação diária. O alemão padrão encontra-se em maior circulação entre a comunidade devido à influência do colégio, da cooperativa e da igreja. Sendo assim, o baixo alemão (dialeto) está relativamente propício à extinção, ao apagamento. Com isso, a cooficialização do Plautdietsch é um ganho para a Colônia Witmarsum e para o povo que a fundou. </w:t>
      </w:r>
    </w:p>
    <w:p w:rsidR="00F64385" w:rsidRPr="00580161" w:rsidRDefault="00F64385" w:rsidP="00580161">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pt-BR"/>
        </w:rPr>
      </w:pPr>
      <w:r w:rsidRPr="00F64385">
        <w:rPr>
          <w:rFonts w:ascii="Times New Roman" w:eastAsia="Times New Roman" w:hAnsi="Times New Roman" w:cs="Times New Roman"/>
          <w:color w:val="000000"/>
          <w:sz w:val="24"/>
          <w:szCs w:val="24"/>
          <w:lang w:eastAsia="pt-BR"/>
        </w:rPr>
        <w:t>A visibilidade na paisagem linguística do local é uma das ações pertinentes ao planejamento linguístico como citado no Artigo 3º da Lei nº 5.348 de 15/06/2021</w:t>
      </w:r>
      <w:r w:rsidRPr="00F64385">
        <w:rPr>
          <w:rFonts w:ascii="Times New Roman" w:eastAsia="Times New Roman" w:hAnsi="Times New Roman" w:cs="Times New Roman"/>
          <w:color w:val="000000"/>
          <w:sz w:val="24"/>
          <w:szCs w:val="24"/>
          <w:vertAlign w:val="superscript"/>
          <w:lang w:eastAsia="pt-BR"/>
        </w:rPr>
        <w:footnoteReference w:id="16"/>
      </w:r>
      <w:r w:rsidRPr="00F64385">
        <w:rPr>
          <w:rFonts w:ascii="Times New Roman" w:eastAsia="Times New Roman" w:hAnsi="Times New Roman" w:cs="Times New Roman"/>
          <w:color w:val="000000"/>
          <w:sz w:val="24"/>
          <w:szCs w:val="24"/>
          <w:lang w:eastAsia="pt-BR"/>
        </w:rPr>
        <w:t xml:space="preserve">: “É facultado à Colônia Witmarsum </w:t>
      </w:r>
      <w:r w:rsidRPr="00F64385">
        <w:rPr>
          <w:rFonts w:ascii="Times New Roman" w:hAnsi="Times New Roman" w:cs="Times New Roman"/>
          <w:sz w:val="24"/>
          <w:szCs w:val="24"/>
        </w:rPr>
        <w:t>realizar as campanhas publicitárias, institucionais, utilizar placas indicativas de vias públicas, praças e prédios públicos/privados e as comemorações de interesse público, na língua oficial e cooficial”. Percebemos a importância dessa “grande decisão referente à relação entre língua e sociedade”</w:t>
      </w:r>
      <w:r w:rsidRPr="00F64385">
        <w:rPr>
          <w:rFonts w:ascii="Times New Roman" w:hAnsi="Times New Roman" w:cs="Times New Roman"/>
          <w:sz w:val="24"/>
          <w:szCs w:val="24"/>
          <w:vertAlign w:val="superscript"/>
        </w:rPr>
        <w:t xml:space="preserve"> </w:t>
      </w:r>
      <w:r w:rsidRPr="00F64385">
        <w:rPr>
          <w:rFonts w:ascii="Times New Roman" w:hAnsi="Times New Roman" w:cs="Times New Roman"/>
          <w:sz w:val="24"/>
          <w:szCs w:val="24"/>
        </w:rPr>
        <w:t>(</w:t>
      </w:r>
      <w:r w:rsidR="004818DD" w:rsidRPr="00F64385">
        <w:rPr>
          <w:rFonts w:ascii="Times New Roman" w:hAnsi="Times New Roman" w:cs="Times New Roman"/>
          <w:sz w:val="24"/>
          <w:szCs w:val="24"/>
        </w:rPr>
        <w:t>CALVET</w:t>
      </w:r>
      <w:r w:rsidRPr="00F64385">
        <w:rPr>
          <w:rFonts w:ascii="Times New Roman" w:hAnsi="Times New Roman" w:cs="Times New Roman"/>
          <w:sz w:val="24"/>
          <w:szCs w:val="24"/>
        </w:rPr>
        <w:t>, 2007) para dar visibilidade à língua escrita e representada na paisagem linguística da colônia.</w:t>
      </w:r>
    </w:p>
    <w:p w:rsidR="004818DD" w:rsidRDefault="004818DD" w:rsidP="004818DD">
      <w:pPr>
        <w:shd w:val="clear" w:color="auto" w:fill="FFFFFF"/>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seguir apresentamos algumas imagens coletadas no nosso campo de pesquisa, as quais retratam o uso do dialeto na paisagem linguística:</w:t>
      </w:r>
    </w:p>
    <w:p w:rsidR="004818DD" w:rsidRPr="00F64385" w:rsidRDefault="004818DD" w:rsidP="004818DD">
      <w:pPr>
        <w:shd w:val="clear" w:color="auto" w:fill="FFFFFF"/>
        <w:suppressAutoHyphens/>
        <w:spacing w:after="0" w:line="240" w:lineRule="auto"/>
        <w:jc w:val="both"/>
        <w:rPr>
          <w:rFonts w:ascii="Times New Roman" w:hAnsi="Times New Roman" w:cs="Times New Roman"/>
          <w:sz w:val="24"/>
          <w:szCs w:val="24"/>
        </w:rPr>
      </w:pPr>
    </w:p>
    <w:p w:rsidR="00F64385" w:rsidRPr="00F64385" w:rsidRDefault="00F64385" w:rsidP="00F64385">
      <w:pPr>
        <w:shd w:val="clear" w:color="auto" w:fill="FFFFFF"/>
        <w:suppressAutoHyphens/>
        <w:spacing w:after="0" w:line="240" w:lineRule="auto"/>
        <w:ind w:firstLine="709"/>
        <w:jc w:val="both"/>
        <w:rPr>
          <w:rFonts w:ascii="Times New Roman" w:hAnsi="Times New Roman" w:cs="Times New Roman"/>
          <w:sz w:val="24"/>
          <w:szCs w:val="24"/>
        </w:rPr>
      </w:pPr>
      <w:r w:rsidRPr="00F64385">
        <w:rPr>
          <w:rFonts w:ascii="Times New Roman" w:hAnsi="Times New Roman" w:cs="Times New Roman"/>
          <w:noProof/>
          <w:sz w:val="24"/>
          <w:szCs w:val="24"/>
          <w:lang w:eastAsia="pt-BR"/>
        </w:rPr>
        <w:drawing>
          <wp:anchor distT="0" distB="0" distL="0" distR="114300" simplePos="0" relativeHeight="251659264" behindDoc="0" locked="0" layoutInCell="0" allowOverlap="1" wp14:anchorId="4308BA59" wp14:editId="40E1BD3A">
            <wp:simplePos x="0" y="0"/>
            <wp:positionH relativeFrom="margin">
              <wp:align>left</wp:align>
            </wp:positionH>
            <wp:positionV relativeFrom="paragraph">
              <wp:posOffset>294640</wp:posOffset>
            </wp:positionV>
            <wp:extent cx="2647950" cy="1614170"/>
            <wp:effectExtent l="76200" t="76200" r="133985" b="139065"/>
            <wp:wrapSquare wrapText="bothSides"/>
            <wp:docPr id="2" name="Imagem 86" descr="C:\Users\Janaina P. Andrade\Desktop\Sinais não oficiais\4 - Artesanato Witmarsum\Unidade 4.jpeg"/>
            <wp:cNvGraphicFramePr/>
            <a:graphic xmlns:a="http://schemas.openxmlformats.org/drawingml/2006/main">
              <a:graphicData uri="http://schemas.openxmlformats.org/drawingml/2006/picture">
                <pic:pic xmlns:pic="http://schemas.openxmlformats.org/drawingml/2006/picture">
                  <pic:nvPicPr>
                    <pic:cNvPr id="1" name="Imagem 86" descr="C:\Users\Janaina P. Andrade\Desktop\Sinais não oficiais\4 - Artesanato Witmarsum\Unidade 4.jpeg"/>
                    <pic:cNvPicPr/>
                  </pic:nvPicPr>
                  <pic:blipFill>
                    <a:blip r:embed="rId9"/>
                    <a:srcRect t="15730" b="22132"/>
                    <a:stretch/>
                  </pic:blipFill>
                  <pic:spPr>
                    <a:xfrm>
                      <a:off x="0" y="0"/>
                      <a:ext cx="2647440" cy="161352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r w:rsidRPr="00F64385">
        <w:rPr>
          <w:rFonts w:ascii="Times New Roman" w:hAnsi="Times New Roman" w:cs="Times New Roman"/>
          <w:noProof/>
          <w:sz w:val="24"/>
          <w:szCs w:val="24"/>
          <w:lang w:eastAsia="pt-BR"/>
        </w:rPr>
        <w:drawing>
          <wp:anchor distT="0" distB="0" distL="114300" distR="114300" simplePos="0" relativeHeight="251660288" behindDoc="0" locked="0" layoutInCell="0" allowOverlap="1" wp14:anchorId="2F252C31" wp14:editId="401D30A3">
            <wp:simplePos x="0" y="0"/>
            <wp:positionH relativeFrom="column">
              <wp:posOffset>2892425</wp:posOffset>
            </wp:positionH>
            <wp:positionV relativeFrom="paragraph">
              <wp:posOffset>320040</wp:posOffset>
            </wp:positionV>
            <wp:extent cx="2647950" cy="1597025"/>
            <wp:effectExtent l="76200" t="76200" r="133985" b="137160"/>
            <wp:wrapSquare wrapText="bothSides"/>
            <wp:docPr id="3" name="Imagem 88" descr="C:\Users\Janaina P. Andrade\Desktop\Fotos Witmarsum\Souveniers.jpg"/>
            <wp:cNvGraphicFramePr/>
            <a:graphic xmlns:a="http://schemas.openxmlformats.org/drawingml/2006/main">
              <a:graphicData uri="http://schemas.openxmlformats.org/drawingml/2006/picture">
                <pic:pic xmlns:pic="http://schemas.openxmlformats.org/drawingml/2006/picture">
                  <pic:nvPicPr>
                    <pic:cNvPr id="2" name="Imagem 88" descr="C:\Users\Janaina P. Andrade\Desktop\Fotos Witmarsum\Souveniers.jpg"/>
                    <pic:cNvPicPr/>
                  </pic:nvPicPr>
                  <pic:blipFill>
                    <a:blip r:embed="rId10"/>
                    <a:srcRect l="4181" t="18843" r="4418" b="9140"/>
                    <a:stretch/>
                  </pic:blipFill>
                  <pic:spPr>
                    <a:xfrm>
                      <a:off x="0" y="0"/>
                      <a:ext cx="2647440" cy="159624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r w:rsidRPr="00F64385">
        <w:rPr>
          <w:rFonts w:ascii="Times New Roman" w:hAnsi="Times New Roman" w:cs="Times New Roman"/>
          <w:noProof/>
          <w:sz w:val="24"/>
          <w:szCs w:val="24"/>
          <w:lang w:eastAsia="pt-BR"/>
        </w:rPr>
        <mc:AlternateContent>
          <mc:Choice Requires="wps">
            <w:drawing>
              <wp:anchor distT="0" distB="0" distL="114300" distR="114300" simplePos="0" relativeHeight="251664384" behindDoc="0" locked="0" layoutInCell="0" allowOverlap="1" wp14:anchorId="3ADFB914" wp14:editId="33CC0244">
                <wp:simplePos x="0" y="0"/>
                <wp:positionH relativeFrom="margin">
                  <wp:align>right</wp:align>
                </wp:positionH>
                <wp:positionV relativeFrom="paragraph">
                  <wp:posOffset>76200</wp:posOffset>
                </wp:positionV>
                <wp:extent cx="4879340" cy="170815"/>
                <wp:effectExtent l="0" t="0" r="0" b="1270"/>
                <wp:wrapSquare wrapText="bothSides"/>
                <wp:docPr id="4" name="Caixa de texto 1"/>
                <wp:cNvGraphicFramePr/>
                <a:graphic xmlns:a="http://schemas.openxmlformats.org/drawingml/2006/main">
                  <a:graphicData uri="http://schemas.microsoft.com/office/word/2010/wordprocessingShape">
                    <wps:wsp>
                      <wps:cNvSpPr/>
                      <wps:spPr>
                        <a:xfrm>
                          <a:off x="0" y="0"/>
                          <a:ext cx="4878720" cy="170280"/>
                        </a:xfrm>
                        <a:prstGeom prst="rect">
                          <a:avLst/>
                        </a:prstGeom>
                        <a:solidFill>
                          <a:srgbClr val="FFFFFF"/>
                        </a:solidFill>
                        <a:ln w="0">
                          <a:noFill/>
                        </a:ln>
                        <a:effectLst/>
                      </wps:spPr>
                      <wps:txbx>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2 – Loja de Artesanato                                              Figura 3 - Souvenires</w:t>
                            </w:r>
                          </w:p>
                        </w:txbxContent>
                      </wps:txbx>
                      <wps:bodyPr lIns="0" tIns="0" rIns="0" bIns="0" anchor="t">
                        <a:prstTxWarp prst="textNoShape">
                          <a:avLst/>
                        </a:prstTxWarp>
                        <a:noAutofit/>
                      </wps:bodyPr>
                    </wps:wsp>
                  </a:graphicData>
                </a:graphic>
              </wp:anchor>
            </w:drawing>
          </mc:Choice>
          <mc:Fallback>
            <w:pict>
              <v:rect w14:anchorId="3ADFB914" id="Caixa de texto 1" o:spid="_x0000_s1026" style="position:absolute;left:0;text-align:left;margin-left:333pt;margin-top:6pt;width:384.2pt;height:13.45pt;z-index:2516643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" o:allowincell="f" stroked="f" strokeweight="0">
                <v:textbox inset="0,0,0,0">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2 – Loja de Artesanato                                             </w:t>
                      </w:r>
                      <w:proofErr w:type="gramStart"/>
                      <w:r>
                        <w:rPr>
                          <w:rFonts w:ascii="Garamond" w:hAnsi="Garamond"/>
                          <w:b/>
                          <w:i w:val="0"/>
                          <w:color w:val="auto"/>
                          <w:sz w:val="20"/>
                          <w:szCs w:val="20"/>
                        </w:rPr>
                        <w:t xml:space="preserve"> Figura</w:t>
                      </w:r>
                      <w:proofErr w:type="gramEnd"/>
                      <w:r>
                        <w:rPr>
                          <w:rFonts w:ascii="Garamond" w:hAnsi="Garamond"/>
                          <w:b/>
                          <w:i w:val="0"/>
                          <w:color w:val="auto"/>
                          <w:sz w:val="20"/>
                          <w:szCs w:val="20"/>
                        </w:rPr>
                        <w:t xml:space="preserve"> 3 - Souvenires</w:t>
                      </w:r>
                    </w:p>
                  </w:txbxContent>
                </v:textbox>
                <w10:wrap type="square" anchorx="margin"/>
              </v:rect>
            </w:pict>
          </mc:Fallback>
        </mc:AlternateContent>
      </w:r>
    </w:p>
    <w:p w:rsidR="004818DD" w:rsidRPr="00F64385" w:rsidRDefault="00F64385" w:rsidP="00F64385">
      <w:pPr>
        <w:suppressAutoHyphens/>
        <w:spacing w:after="0" w:line="240" w:lineRule="auto"/>
        <w:rPr>
          <w:rFonts w:ascii="Times New Roman" w:hAnsi="Times New Roman" w:cs="Times New Roman"/>
          <w:sz w:val="24"/>
          <w:szCs w:val="24"/>
        </w:rPr>
      </w:pPr>
      <w:r w:rsidRPr="00F64385">
        <w:rPr>
          <w:rFonts w:ascii="Times New Roman" w:hAnsi="Times New Roman" w:cs="Times New Roman"/>
          <w:sz w:val="24"/>
          <w:szCs w:val="24"/>
        </w:rPr>
        <w:tab/>
      </w:r>
    </w:p>
    <w:p w:rsidR="004818DD" w:rsidRDefault="004818DD" w:rsidP="00F64385">
      <w:pPr>
        <w:tabs>
          <w:tab w:val="left" w:pos="1171"/>
        </w:tabs>
        <w:suppressAutoHyphens/>
        <w:spacing w:after="0" w:line="240" w:lineRule="auto"/>
        <w:jc w:val="both"/>
        <w:rPr>
          <w:rFonts w:ascii="Times New Roman" w:hAnsi="Times New Roman" w:cs="Times New Roman"/>
          <w:sz w:val="24"/>
          <w:szCs w:val="24"/>
        </w:rPr>
      </w:pPr>
    </w:p>
    <w:p w:rsidR="004818DD" w:rsidRDefault="004818DD" w:rsidP="00F64385">
      <w:pPr>
        <w:tabs>
          <w:tab w:val="left" w:pos="1171"/>
        </w:tabs>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noProof/>
          <w:lang w:eastAsia="pt-BR"/>
        </w:rPr>
        <mc:AlternateContent>
          <mc:Choice Requires="wps">
            <w:drawing>
              <wp:anchor distT="0" distB="0" distL="114300" distR="114300" simplePos="0" relativeHeight="251677696" behindDoc="0" locked="0" layoutInCell="0" allowOverlap="1" wp14:anchorId="1702BFAB" wp14:editId="5F7FB279">
                <wp:simplePos x="0" y="0"/>
                <wp:positionH relativeFrom="column">
                  <wp:posOffset>1858061</wp:posOffset>
                </wp:positionH>
                <wp:positionV relativeFrom="paragraph">
                  <wp:posOffset>178</wp:posOffset>
                </wp:positionV>
                <wp:extent cx="2021205" cy="153670"/>
                <wp:effectExtent l="0" t="0" r="0" b="0"/>
                <wp:wrapSquare wrapText="bothSides"/>
                <wp:docPr id="6" name="Caixa de texto 2"/>
                <wp:cNvGraphicFramePr/>
                <a:graphic xmlns:a="http://schemas.openxmlformats.org/drawingml/2006/main">
                  <a:graphicData uri="http://schemas.microsoft.com/office/word/2010/wordprocessingShape">
                    <wps:wsp>
                      <wps:cNvSpPr/>
                      <wps:spPr>
                        <a:xfrm>
                          <a:off x="0" y="0"/>
                          <a:ext cx="2021205" cy="153670"/>
                        </a:xfrm>
                        <a:prstGeom prst="rect">
                          <a:avLst/>
                        </a:prstGeom>
                        <a:solidFill>
                          <a:srgbClr val="FFFFFF"/>
                        </a:solidFill>
                        <a:ln w="0">
                          <a:noFill/>
                        </a:ln>
                        <a:effectLst/>
                      </wps:spPr>
                      <wps:txbx>
                        <w:txbxContent>
                          <w:p w:rsidR="004818DD" w:rsidRDefault="004818DD" w:rsidP="004818DD">
                            <w:pPr>
                              <w:pStyle w:val="Legenda"/>
                              <w:rPr>
                                <w:rFonts w:ascii="Garamond" w:hAnsi="Garamond" w:cs="Times New Roman"/>
                                <w:b/>
                                <w:i w:val="0"/>
                                <w:color w:val="auto"/>
                                <w:sz w:val="20"/>
                                <w:szCs w:val="20"/>
                              </w:rPr>
                            </w:pPr>
                            <w:r>
                              <w:rPr>
                                <w:rFonts w:ascii="Garamond" w:hAnsi="Garamond"/>
                                <w:b/>
                                <w:i w:val="0"/>
                                <w:color w:val="auto"/>
                                <w:sz w:val="20"/>
                                <w:szCs w:val="20"/>
                              </w:rPr>
                              <w:t>Figura 4 – Selo Comemorativo</w:t>
                            </w:r>
                          </w:p>
                          <w:p w:rsidR="004818DD" w:rsidRDefault="004818DD" w:rsidP="004818DD">
                            <w:pPr>
                              <w:pStyle w:val="Contedodoquadro"/>
                            </w:pPr>
                          </w:p>
                        </w:txbxContent>
                      </wps:txbx>
                      <wps:bodyPr lIns="0" tIns="0" rIns="0" bIns="0" anchor="t">
                        <a:prstTxWarp prst="textNoShape">
                          <a:avLst/>
                        </a:prstTxWarp>
                        <a:noAutofit/>
                      </wps:bodyPr>
                    </wps:wsp>
                  </a:graphicData>
                </a:graphic>
              </wp:anchor>
            </w:drawing>
          </mc:Choice>
          <mc:Fallback>
            <w:pict>
              <v:rect w14:anchorId="1702BFAB" id="Caixa de texto 2" o:spid="_x0000_s1027" style="position:absolute;left:0;text-align:left;margin-left:146.3pt;margin-top:0;width:159.15pt;height:12.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" o:allowincell="f" stroked="f" strokeweight="0">
                <v:textbox inset="0,0,0,0">
                  <w:txbxContent>
                    <w:p w:rsidR="004818DD" w:rsidRDefault="004818DD" w:rsidP="004818DD">
                      <w:pPr>
                        <w:pStyle w:val="Legenda"/>
                        <w:rPr>
                          <w:rFonts w:ascii="Garamond" w:hAnsi="Garamond" w:cs="Times New Roman"/>
                          <w:b/>
                          <w:i w:val="0"/>
                          <w:color w:val="auto"/>
                          <w:sz w:val="20"/>
                          <w:szCs w:val="20"/>
                        </w:rPr>
                      </w:pPr>
                      <w:r>
                        <w:rPr>
                          <w:rFonts w:ascii="Garamond" w:hAnsi="Garamond"/>
                          <w:b/>
                          <w:i w:val="0"/>
                          <w:color w:val="auto"/>
                          <w:sz w:val="20"/>
                          <w:szCs w:val="20"/>
                        </w:rPr>
                        <w:t>Figura 4 – Selo Comemorativo</w:t>
                      </w:r>
                    </w:p>
                    <w:p w:rsidR="004818DD" w:rsidRDefault="004818DD" w:rsidP="004818DD">
                      <w:pPr>
                        <w:pStyle w:val="Contedodoquadro"/>
                      </w:pPr>
                    </w:p>
                  </w:txbxContent>
                </v:textbox>
                <w10:wrap type="square"/>
              </v:rect>
            </w:pict>
          </mc:Fallback>
        </mc:AlternateContent>
      </w:r>
    </w:p>
    <w:p w:rsidR="00F64385" w:rsidRPr="00F64385" w:rsidRDefault="00F64385" w:rsidP="00F64385">
      <w:pPr>
        <w:tabs>
          <w:tab w:val="left" w:pos="1171"/>
        </w:tabs>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noProof/>
          <w:sz w:val="24"/>
          <w:szCs w:val="24"/>
          <w:lang w:eastAsia="pt-BR"/>
        </w:rPr>
        <w:drawing>
          <wp:anchor distT="0" distB="0" distL="114300" distR="114300" simplePos="0" relativeHeight="251663360" behindDoc="0" locked="0" layoutInCell="0" allowOverlap="1" wp14:anchorId="1F561A18" wp14:editId="4533C371">
            <wp:simplePos x="0" y="0"/>
            <wp:positionH relativeFrom="margin">
              <wp:align>center</wp:align>
            </wp:positionH>
            <wp:positionV relativeFrom="paragraph">
              <wp:posOffset>26035</wp:posOffset>
            </wp:positionV>
            <wp:extent cx="1514475" cy="1602105"/>
            <wp:effectExtent l="76200" t="76200" r="124460" b="132080"/>
            <wp:wrapSquare wrapText="bothSides"/>
            <wp:docPr id="8" name="Imagem 22" descr="C:\Users\Janaina P. Andrade\Downloads\WhatsApp Image 2022-07-13 at 14.59.32.jpeg"/>
            <wp:cNvGraphicFramePr/>
            <a:graphic xmlns:a="http://schemas.openxmlformats.org/drawingml/2006/main">
              <a:graphicData uri="http://schemas.openxmlformats.org/drawingml/2006/picture">
                <pic:pic xmlns:pic="http://schemas.openxmlformats.org/drawingml/2006/picture">
                  <pic:nvPicPr>
                    <pic:cNvPr id="3" name="Imagem 22" descr="C:\Users\Janaina P. Andrade\Downloads\WhatsApp Image 2022-07-13 at 14.59.32.jpeg"/>
                    <pic:cNvPicPr/>
                  </pic:nvPicPr>
                  <pic:blipFill>
                    <a:blip r:embed="rId11"/>
                    <a:stretch/>
                  </pic:blipFill>
                  <pic:spPr>
                    <a:xfrm>
                      <a:off x="0" y="0"/>
                      <a:ext cx="1513800" cy="160164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Default="00F64385" w:rsidP="00F64385">
      <w:pPr>
        <w:suppressAutoHyphens/>
        <w:spacing w:after="0" w:line="240" w:lineRule="auto"/>
        <w:rPr>
          <w:rFonts w:ascii="Times New Roman" w:hAnsi="Times New Roman" w:cs="Times New Roman"/>
          <w:sz w:val="24"/>
          <w:szCs w:val="24"/>
        </w:rPr>
      </w:pPr>
    </w:p>
    <w:p w:rsidR="00CC4D4A" w:rsidRDefault="00CC4D4A" w:rsidP="00F64385">
      <w:pPr>
        <w:suppressAutoHyphens/>
        <w:spacing w:after="0" w:line="240" w:lineRule="auto"/>
        <w:rPr>
          <w:rFonts w:ascii="Times New Roman" w:hAnsi="Times New Roman" w:cs="Times New Roman"/>
          <w:sz w:val="24"/>
          <w:szCs w:val="24"/>
        </w:rPr>
      </w:pPr>
    </w:p>
    <w:p w:rsidR="00CC4D4A" w:rsidRDefault="00CC4D4A" w:rsidP="00F64385">
      <w:pPr>
        <w:suppressAutoHyphens/>
        <w:spacing w:after="0" w:line="240" w:lineRule="auto"/>
        <w:rPr>
          <w:rFonts w:ascii="Times New Roman" w:hAnsi="Times New Roman" w:cs="Times New Roman"/>
          <w:sz w:val="24"/>
          <w:szCs w:val="24"/>
        </w:rPr>
      </w:pPr>
    </w:p>
    <w:p w:rsidR="005C34B3" w:rsidRDefault="005C34B3" w:rsidP="00F64385">
      <w:pPr>
        <w:suppressAutoHyphens/>
        <w:spacing w:after="0" w:line="240" w:lineRule="auto"/>
        <w:rPr>
          <w:rFonts w:ascii="Times New Roman" w:hAnsi="Times New Roman" w:cs="Times New Roman"/>
          <w:sz w:val="24"/>
          <w:szCs w:val="24"/>
        </w:rPr>
      </w:pPr>
    </w:p>
    <w:p w:rsidR="005C34B3" w:rsidRDefault="005C34B3" w:rsidP="00F64385">
      <w:pPr>
        <w:suppressAutoHyphens/>
        <w:spacing w:after="0" w:line="240" w:lineRule="auto"/>
        <w:rPr>
          <w:rFonts w:ascii="Times New Roman" w:hAnsi="Times New Roman" w:cs="Times New Roman"/>
          <w:sz w:val="24"/>
          <w:szCs w:val="24"/>
        </w:rPr>
      </w:pPr>
    </w:p>
    <w:p w:rsidR="005C34B3" w:rsidRDefault="005C34B3" w:rsidP="00F64385">
      <w:pPr>
        <w:suppressAutoHyphens/>
        <w:spacing w:after="0" w:line="240" w:lineRule="auto"/>
        <w:rPr>
          <w:rFonts w:ascii="Times New Roman" w:hAnsi="Times New Roman" w:cs="Times New Roman"/>
          <w:sz w:val="24"/>
          <w:szCs w:val="24"/>
        </w:rPr>
      </w:pPr>
    </w:p>
    <w:p w:rsidR="00CC4D4A" w:rsidRDefault="00CC4D4A" w:rsidP="00F64385">
      <w:pPr>
        <w:suppressAutoHyphens/>
        <w:spacing w:after="0" w:line="240" w:lineRule="auto"/>
        <w:rPr>
          <w:rFonts w:ascii="Times New Roman" w:hAnsi="Times New Roman" w:cs="Times New Roman"/>
          <w:sz w:val="24"/>
          <w:szCs w:val="24"/>
        </w:rPr>
      </w:pPr>
    </w:p>
    <w:p w:rsidR="00CC4D4A" w:rsidRPr="00F64385" w:rsidRDefault="00CC4D4A"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r w:rsidRPr="00F64385">
        <w:rPr>
          <w:rFonts w:ascii="Times New Roman" w:hAnsi="Times New Roman" w:cs="Times New Roman"/>
          <w:noProof/>
          <w:sz w:val="24"/>
          <w:szCs w:val="24"/>
          <w:lang w:eastAsia="pt-BR"/>
        </w:rPr>
        <mc:AlternateContent>
          <mc:Choice Requires="wps">
            <w:drawing>
              <wp:anchor distT="0" distB="0" distL="114300" distR="114300" simplePos="0" relativeHeight="251672576" behindDoc="0" locked="0" layoutInCell="0" allowOverlap="1" wp14:anchorId="6DDD8CC8" wp14:editId="676EC07A">
                <wp:simplePos x="0" y="0"/>
                <wp:positionH relativeFrom="column">
                  <wp:posOffset>609600</wp:posOffset>
                </wp:positionH>
                <wp:positionV relativeFrom="paragraph">
                  <wp:posOffset>77470</wp:posOffset>
                </wp:positionV>
                <wp:extent cx="4733290" cy="139065"/>
                <wp:effectExtent l="0" t="0" r="0" b="0"/>
                <wp:wrapSquare wrapText="bothSides"/>
                <wp:docPr id="9" name="Caixa de texto 3"/>
                <wp:cNvGraphicFramePr/>
                <a:graphic xmlns:a="http://schemas.openxmlformats.org/drawingml/2006/main">
                  <a:graphicData uri="http://schemas.microsoft.com/office/word/2010/wordprocessingShape">
                    <wps:wsp>
                      <wps:cNvSpPr/>
                      <wps:spPr>
                        <a:xfrm>
                          <a:off x="0" y="0"/>
                          <a:ext cx="4732560" cy="138600"/>
                        </a:xfrm>
                        <a:prstGeom prst="rect">
                          <a:avLst/>
                        </a:prstGeom>
                        <a:solidFill>
                          <a:srgbClr val="FFFFFF"/>
                        </a:solidFill>
                        <a:ln w="0">
                          <a:noFill/>
                        </a:ln>
                        <a:effectLst/>
                      </wps:spPr>
                      <wps:txbx>
                        <w:txbxContent>
                          <w:p w:rsidR="00F64385" w:rsidRDefault="00F64385" w:rsidP="00F64385">
                            <w:pPr>
                              <w:pStyle w:val="Legenda"/>
                              <w:rPr>
                                <w:rFonts w:ascii="Garamond" w:hAnsi="Garamond" w:cs="Times New Roman"/>
                                <w:b/>
                                <w:i w:val="0"/>
                                <w:color w:val="auto"/>
                                <w:sz w:val="20"/>
                                <w:szCs w:val="20"/>
                              </w:rPr>
                            </w:pPr>
                            <w:r>
                              <w:rPr>
                                <w:rFonts w:ascii="Garamond" w:hAnsi="Garamond"/>
                                <w:i w:val="0"/>
                                <w:color w:val="auto"/>
                                <w:sz w:val="24"/>
                                <w:szCs w:val="24"/>
                              </w:rPr>
                              <w:t xml:space="preserve">    </w:t>
                            </w:r>
                            <w:r>
                              <w:rPr>
                                <w:rFonts w:ascii="Garamond" w:hAnsi="Garamond"/>
                                <w:b/>
                                <w:i w:val="0"/>
                                <w:color w:val="auto"/>
                                <w:sz w:val="20"/>
                                <w:szCs w:val="20"/>
                              </w:rPr>
                              <w:t>Figura 5 – Cartão Felicitações                           Figura 6 - Massoterapia</w:t>
                            </w:r>
                          </w:p>
                        </w:txbxContent>
                      </wps:txbx>
                      <wps:bodyPr lIns="0" tIns="0" rIns="0" bIns="0" anchor="t">
                        <a:prstTxWarp prst="textNoShape">
                          <a:avLst/>
                        </a:prstTxWarp>
                        <a:noAutofit/>
                      </wps:bodyPr>
                    </wps:wsp>
                  </a:graphicData>
                </a:graphic>
              </wp:anchor>
            </w:drawing>
          </mc:Choice>
          <mc:Fallback>
            <w:pict>
              <v:rect w14:anchorId="6DDD8CC8" id="Caixa de texto 3" o:spid="_x0000_s1028" style="position:absolute;margin-left:48pt;margin-top:6.1pt;width:372.7pt;height:10.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" o:allowincell="f" stroked="f" strokeweight="0">
                <v:textbox inset="0,0,0,0">
                  <w:txbxContent>
                    <w:p w:rsidR="00F64385" w:rsidRDefault="00F64385" w:rsidP="00F64385">
                      <w:pPr>
                        <w:pStyle w:val="Legenda"/>
                        <w:rPr>
                          <w:rFonts w:ascii="Garamond" w:hAnsi="Garamond" w:cs="Times New Roman"/>
                          <w:b/>
                          <w:i w:val="0"/>
                          <w:color w:val="auto"/>
                          <w:sz w:val="20"/>
                          <w:szCs w:val="20"/>
                        </w:rPr>
                      </w:pPr>
                      <w:r>
                        <w:rPr>
                          <w:rFonts w:ascii="Garamond" w:hAnsi="Garamond"/>
                          <w:i w:val="0"/>
                          <w:color w:val="auto"/>
                          <w:sz w:val="24"/>
                          <w:szCs w:val="24"/>
                        </w:rPr>
                        <w:t xml:space="preserve">    </w:t>
                      </w:r>
                      <w:r>
                        <w:rPr>
                          <w:rFonts w:ascii="Garamond" w:hAnsi="Garamond"/>
                          <w:b/>
                          <w:i w:val="0"/>
                          <w:color w:val="auto"/>
                          <w:sz w:val="20"/>
                          <w:szCs w:val="20"/>
                        </w:rPr>
                        <w:t xml:space="preserve">Figura 5 – Cartão Felicitações                         </w:t>
                      </w:r>
                      <w:proofErr w:type="gramStart"/>
                      <w:r>
                        <w:rPr>
                          <w:rFonts w:ascii="Garamond" w:hAnsi="Garamond"/>
                          <w:b/>
                          <w:i w:val="0"/>
                          <w:color w:val="auto"/>
                          <w:sz w:val="20"/>
                          <w:szCs w:val="20"/>
                        </w:rPr>
                        <w:t xml:space="preserve">  Figura</w:t>
                      </w:r>
                      <w:proofErr w:type="gramEnd"/>
                      <w:r>
                        <w:rPr>
                          <w:rFonts w:ascii="Garamond" w:hAnsi="Garamond"/>
                          <w:b/>
                          <w:i w:val="0"/>
                          <w:color w:val="auto"/>
                          <w:sz w:val="20"/>
                          <w:szCs w:val="20"/>
                        </w:rPr>
                        <w:t xml:space="preserve"> 6 - Massoterapia</w:t>
                      </w:r>
                    </w:p>
                  </w:txbxContent>
                </v:textbox>
                <w10:wrap type="square"/>
              </v:rect>
            </w:pict>
          </mc:Fallback>
        </mc:AlternateContent>
      </w:r>
    </w:p>
    <w:p w:rsidR="00F64385" w:rsidRPr="00F64385" w:rsidRDefault="00F64385" w:rsidP="00F64385">
      <w:pPr>
        <w:suppressAutoHyphens/>
        <w:spacing w:after="0" w:line="240" w:lineRule="auto"/>
        <w:rPr>
          <w:rFonts w:ascii="Times New Roman" w:hAnsi="Times New Roman" w:cs="Times New Roman"/>
          <w:sz w:val="24"/>
          <w:szCs w:val="24"/>
        </w:rPr>
      </w:pPr>
      <w:r w:rsidRPr="00F64385">
        <w:rPr>
          <w:rFonts w:ascii="Times New Roman" w:hAnsi="Times New Roman" w:cs="Times New Roman"/>
          <w:noProof/>
          <w:sz w:val="24"/>
          <w:szCs w:val="24"/>
          <w:lang w:eastAsia="pt-BR"/>
        </w:rPr>
        <w:drawing>
          <wp:anchor distT="0" distB="0" distL="114300" distR="113665" simplePos="0" relativeHeight="251661312" behindDoc="0" locked="0" layoutInCell="0" allowOverlap="1" wp14:anchorId="1EDAF0D9" wp14:editId="50567738">
            <wp:simplePos x="0" y="0"/>
            <wp:positionH relativeFrom="margin">
              <wp:posOffset>2778760</wp:posOffset>
            </wp:positionH>
            <wp:positionV relativeFrom="paragraph">
              <wp:posOffset>100330</wp:posOffset>
            </wp:positionV>
            <wp:extent cx="2221230" cy="2286635"/>
            <wp:effectExtent l="76200" t="76200" r="141605" b="133350"/>
            <wp:wrapSquare wrapText="bothSides"/>
            <wp:docPr id="11" name="Imagem 82" descr="C:\Users\Janaina P. Andrade\Desktop\Sinais extras\1652133820561.jpg"/>
            <wp:cNvGraphicFramePr/>
            <a:graphic xmlns:a="http://schemas.openxmlformats.org/drawingml/2006/main">
              <a:graphicData uri="http://schemas.openxmlformats.org/drawingml/2006/picture">
                <pic:pic xmlns:pic="http://schemas.openxmlformats.org/drawingml/2006/picture">
                  <pic:nvPicPr>
                    <pic:cNvPr id="4" name="Imagem 82" descr="C:\Users\Janaina P. Andrade\Desktop\Sinais extras\1652133820561.jpg"/>
                    <pic:cNvPicPr/>
                  </pic:nvPicPr>
                  <pic:blipFill>
                    <a:blip r:embed="rId12"/>
                    <a:srcRect l="6442" t="5486" r="3345"/>
                    <a:stretch/>
                  </pic:blipFill>
                  <pic:spPr>
                    <a:xfrm>
                      <a:off x="0" y="0"/>
                      <a:ext cx="2220480" cy="228600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r w:rsidRPr="00F64385">
        <w:rPr>
          <w:rFonts w:ascii="Times New Roman" w:hAnsi="Times New Roman" w:cs="Times New Roman"/>
          <w:noProof/>
          <w:sz w:val="24"/>
          <w:szCs w:val="24"/>
          <w:lang w:eastAsia="pt-BR"/>
        </w:rPr>
        <w:drawing>
          <wp:anchor distT="0" distB="0" distL="114300" distR="114300" simplePos="0" relativeHeight="251662336" behindDoc="0" locked="0" layoutInCell="0" allowOverlap="1" wp14:anchorId="202876A3" wp14:editId="4B5C1625">
            <wp:simplePos x="0" y="0"/>
            <wp:positionH relativeFrom="margin">
              <wp:posOffset>516255</wp:posOffset>
            </wp:positionH>
            <wp:positionV relativeFrom="paragraph">
              <wp:posOffset>97155</wp:posOffset>
            </wp:positionV>
            <wp:extent cx="2097405" cy="2286635"/>
            <wp:effectExtent l="76200" t="76200" r="132080" b="133350"/>
            <wp:wrapSquare wrapText="bothSides"/>
            <wp:docPr id="12" name="Imagem 83" descr="C:\Users\Janaina P. Andrade\Desktop\Sinais extras\1652133820616.jpeg"/>
            <wp:cNvGraphicFramePr/>
            <a:graphic xmlns:a="http://schemas.openxmlformats.org/drawingml/2006/main">
              <a:graphicData uri="http://schemas.openxmlformats.org/drawingml/2006/picture">
                <pic:pic xmlns:pic="http://schemas.openxmlformats.org/drawingml/2006/picture">
                  <pic:nvPicPr>
                    <pic:cNvPr id="5" name="Imagem 83" descr="C:\Users\Janaina P. Andrade\Desktop\Sinais extras\1652133820616.jpeg"/>
                    <pic:cNvPicPr/>
                  </pic:nvPicPr>
                  <pic:blipFill>
                    <a:blip r:embed="rId13"/>
                    <a:stretch/>
                  </pic:blipFill>
                  <pic:spPr>
                    <a:xfrm>
                      <a:off x="0" y="0"/>
                      <a:ext cx="2096640" cy="228600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jc w:val="center"/>
        <w:rPr>
          <w:rFonts w:ascii="Times New Roman" w:hAnsi="Times New Roman" w:cs="Times New Roman"/>
          <w:sz w:val="24"/>
          <w:szCs w:val="24"/>
        </w:rPr>
      </w:pPr>
    </w:p>
    <w:p w:rsidR="00F64385" w:rsidRPr="00F64385" w:rsidRDefault="00F64385" w:rsidP="00F64385">
      <w:pPr>
        <w:suppressAutoHyphens/>
        <w:spacing w:after="0" w:line="240" w:lineRule="auto"/>
        <w:jc w:val="center"/>
        <w:rPr>
          <w:rFonts w:ascii="Times New Roman" w:hAnsi="Times New Roman" w:cs="Times New Roman"/>
          <w:sz w:val="20"/>
          <w:szCs w:val="20"/>
        </w:rPr>
      </w:pPr>
      <w:r w:rsidRPr="00F64385">
        <w:rPr>
          <w:rFonts w:ascii="Times New Roman" w:hAnsi="Times New Roman" w:cs="Times New Roman"/>
          <w:sz w:val="20"/>
          <w:szCs w:val="20"/>
        </w:rPr>
        <w:t>Fonte: Dados coletados pela autora (2022).</w:t>
      </w:r>
    </w:p>
    <w:p w:rsidR="00F64385" w:rsidRPr="00F64385" w:rsidRDefault="00F64385" w:rsidP="00F64385">
      <w:pPr>
        <w:suppressAutoHyphens/>
        <w:spacing w:after="0" w:line="240" w:lineRule="auto"/>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p>
    <w:p w:rsidR="004818DD"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Na figura 2 </w:t>
      </w:r>
      <w:r w:rsidR="00580161">
        <w:rPr>
          <w:rFonts w:ascii="Times New Roman" w:hAnsi="Times New Roman" w:cs="Times New Roman"/>
          <w:i/>
          <w:sz w:val="24"/>
          <w:szCs w:val="24"/>
        </w:rPr>
        <w:t>Holthus</w:t>
      </w:r>
      <w:r w:rsidRPr="00F64385">
        <w:rPr>
          <w:rFonts w:ascii="Times New Roman" w:hAnsi="Times New Roman" w:cs="Times New Roman"/>
          <w:i/>
          <w:sz w:val="24"/>
          <w:szCs w:val="24"/>
        </w:rPr>
        <w:t xml:space="preserve"> </w:t>
      </w:r>
      <w:r w:rsidRPr="00F64385">
        <w:rPr>
          <w:rFonts w:ascii="Times New Roman" w:hAnsi="Times New Roman" w:cs="Times New Roman"/>
          <w:sz w:val="24"/>
          <w:szCs w:val="24"/>
        </w:rPr>
        <w:t>quer dizer casa de madeira. No local encontramos variadas técnicas de artesanato realizadas pela própria família</w:t>
      </w:r>
      <w:r w:rsidR="004818DD">
        <w:rPr>
          <w:rFonts w:ascii="Times New Roman" w:hAnsi="Times New Roman" w:cs="Times New Roman"/>
          <w:sz w:val="24"/>
          <w:szCs w:val="24"/>
        </w:rPr>
        <w:t xml:space="preserve">, a qual é empreendedora do estabelecimento, </w:t>
      </w:r>
      <w:r w:rsidRPr="00F64385">
        <w:rPr>
          <w:rFonts w:ascii="Times New Roman" w:hAnsi="Times New Roman" w:cs="Times New Roman"/>
          <w:sz w:val="24"/>
          <w:szCs w:val="24"/>
        </w:rPr>
        <w:t>tradicionalmente menonita, e acima de tudo, defensora e ativista da manutenção do dialeto na colônia.</w:t>
      </w:r>
    </w:p>
    <w:p w:rsidR="008B26C0"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 Em conversas informais com o proprietário Sr. Heinz Egon Philippsen, antigo diretor do Heimat Museum, o relato foi de constante resistência e luta para a preservação da língua e da cultura menonita, que está cada dia mais ameaçada de extinção, devido a diversos fatores linguísticos e extralinguísticos. Com efeito, o nome do seu estabelecimento é “na sua língua”, simbólico, mas carregado de história e cultura, a denominação faz menção ao próprio local, que é uma casa de madeira.</w:t>
      </w:r>
    </w:p>
    <w:p w:rsidR="008B26C0"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 A figura 3 apresenta os souvenires alusivos às comemorações festivas dos 70 anos da Colônia Witmarsum, os quais aparecem as inscrições: </w:t>
      </w:r>
      <w:r w:rsidRPr="00F64385">
        <w:rPr>
          <w:rFonts w:ascii="Times New Roman" w:hAnsi="Times New Roman" w:cs="Times New Roman"/>
          <w:i/>
          <w:sz w:val="24"/>
          <w:szCs w:val="24"/>
        </w:rPr>
        <w:t>Escht een Koffe</w:t>
      </w:r>
      <w:r w:rsidRPr="00F64385">
        <w:rPr>
          <w:rFonts w:ascii="Times New Roman" w:hAnsi="Times New Roman" w:cs="Times New Roman"/>
          <w:sz w:val="24"/>
          <w:szCs w:val="24"/>
        </w:rPr>
        <w:t xml:space="preserve">, que quer dizer “Primeiro um café”; e </w:t>
      </w:r>
      <w:r w:rsidRPr="00F64385">
        <w:rPr>
          <w:rFonts w:ascii="Times New Roman" w:hAnsi="Times New Roman" w:cs="Times New Roman"/>
          <w:i/>
          <w:sz w:val="24"/>
          <w:szCs w:val="24"/>
        </w:rPr>
        <w:t>Plautdietsch ess onse Sproak!</w:t>
      </w:r>
      <w:r w:rsidRPr="00F64385">
        <w:rPr>
          <w:rFonts w:ascii="Times New Roman" w:hAnsi="Times New Roman" w:cs="Times New Roman"/>
          <w:sz w:val="24"/>
          <w:szCs w:val="24"/>
        </w:rPr>
        <w:t>, que traduzido para a língua portuguesa é “Plautdietsch é a nossa língua!”. Ambos os sinais semiotizam e dão visibilidade à língua do povo menonita, um ação político-linguística, que reverbera à defesa e à manutenção da língua, a qual é estigmatizada pela própria denominação – baixo alemão.</w:t>
      </w:r>
    </w:p>
    <w:p w:rsidR="008B26C0"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 Já a figura 4 é um selo d</w:t>
      </w:r>
      <w:r w:rsidR="008B26C0">
        <w:rPr>
          <w:rFonts w:ascii="Times New Roman" w:hAnsi="Times New Roman" w:cs="Times New Roman"/>
          <w:sz w:val="24"/>
          <w:szCs w:val="24"/>
        </w:rPr>
        <w:t>os Correios (instância federal), que também faz parte da</w:t>
      </w:r>
      <w:r w:rsidRPr="00F64385">
        <w:rPr>
          <w:rFonts w:ascii="Times New Roman" w:hAnsi="Times New Roman" w:cs="Times New Roman"/>
          <w:sz w:val="24"/>
          <w:szCs w:val="24"/>
        </w:rPr>
        <w:t xml:space="preserve">s comemorações dos 70 anos </w:t>
      </w:r>
      <w:r w:rsidR="008B26C0">
        <w:rPr>
          <w:rFonts w:ascii="Times New Roman" w:hAnsi="Times New Roman" w:cs="Times New Roman"/>
          <w:sz w:val="24"/>
          <w:szCs w:val="24"/>
        </w:rPr>
        <w:t>de Witmarsum e está representado</w:t>
      </w:r>
      <w:r w:rsidRPr="00F64385">
        <w:rPr>
          <w:rFonts w:ascii="Times New Roman" w:hAnsi="Times New Roman" w:cs="Times New Roman"/>
          <w:sz w:val="24"/>
          <w:szCs w:val="24"/>
        </w:rPr>
        <w:t xml:space="preserve"> em Plautdietsch, a língua dos menonitas – 70 joahre.  Vale pontuar que, é o único sinal oficial federal n</w:t>
      </w:r>
      <w:r w:rsidR="008B26C0">
        <w:rPr>
          <w:rFonts w:ascii="Times New Roman" w:hAnsi="Times New Roman" w:cs="Times New Roman"/>
          <w:sz w:val="24"/>
          <w:szCs w:val="24"/>
        </w:rPr>
        <w:t>ess</w:t>
      </w:r>
      <w:r w:rsidRPr="00F64385">
        <w:rPr>
          <w:rFonts w:ascii="Times New Roman" w:hAnsi="Times New Roman" w:cs="Times New Roman"/>
          <w:sz w:val="24"/>
          <w:szCs w:val="24"/>
        </w:rPr>
        <w:t xml:space="preserve">a língua de imigração. Concomitantemente, ao </w:t>
      </w:r>
      <w:r w:rsidRPr="00F64385">
        <w:rPr>
          <w:rFonts w:ascii="Times New Roman" w:hAnsi="Times New Roman" w:cs="Times New Roman"/>
          <w:i/>
          <w:sz w:val="24"/>
          <w:szCs w:val="24"/>
        </w:rPr>
        <w:t>outdoor</w:t>
      </w:r>
      <w:r w:rsidRPr="00F64385">
        <w:rPr>
          <w:rFonts w:ascii="Times New Roman" w:hAnsi="Times New Roman" w:cs="Times New Roman"/>
          <w:sz w:val="24"/>
          <w:szCs w:val="24"/>
        </w:rPr>
        <w:t xml:space="preserve"> representado pela figura 1 exclusivamente bilíngue, em Plautdietsch e em português, emitido pela esfera municipal.  </w:t>
      </w:r>
    </w:p>
    <w:p w:rsidR="00CC4D4A" w:rsidRPr="00F64385" w:rsidRDefault="00F64385" w:rsidP="005C34B3">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A figura 5 está escrita em Plautdietsch e Português, refere-se a um cartão de felicitações de final de ano, emitida pela Associação Comunitária de Moradores Proprietários de Witmarsum aos seus associados. E, por fim, a figura 6, uma das poucas representadas em Plautdietsch, que presta serviço de massoterapia. </w:t>
      </w:r>
      <w:r w:rsidRPr="00F64385">
        <w:rPr>
          <w:rFonts w:ascii="Times New Roman" w:hAnsi="Times New Roman" w:cs="Times New Roman"/>
          <w:i/>
          <w:sz w:val="24"/>
          <w:szCs w:val="24"/>
        </w:rPr>
        <w:t xml:space="preserve">Trajchtmoake, </w:t>
      </w:r>
      <w:r w:rsidRPr="00F64385">
        <w:rPr>
          <w:rFonts w:ascii="Times New Roman" w:hAnsi="Times New Roman" w:cs="Times New Roman"/>
          <w:sz w:val="24"/>
          <w:szCs w:val="24"/>
        </w:rPr>
        <w:t xml:space="preserve">quer dizer: consertar, arrumar e compreende uma técnica centenária tradicionalmente passada de geração em geração. </w:t>
      </w:r>
    </w:p>
    <w:p w:rsidR="00F64385" w:rsidRPr="00F64385" w:rsidRDefault="00F64385" w:rsidP="00F64385">
      <w:pPr>
        <w:suppressAutoHyphens/>
        <w:spacing w:after="0" w:line="240" w:lineRule="auto"/>
        <w:jc w:val="both"/>
        <w:rPr>
          <w:rFonts w:ascii="Times New Roman" w:hAnsi="Times New Roman" w:cs="Times New Roman"/>
          <w:sz w:val="24"/>
          <w:szCs w:val="24"/>
        </w:rPr>
      </w:pPr>
    </w:p>
    <w:p w:rsidR="00F64385" w:rsidRPr="005C34B3" w:rsidRDefault="00F64385" w:rsidP="005C34B3">
      <w:pPr>
        <w:pStyle w:val="PargrafodaLista"/>
        <w:numPr>
          <w:ilvl w:val="0"/>
          <w:numId w:val="2"/>
        </w:numPr>
        <w:suppressAutoHyphens/>
        <w:spacing w:after="0" w:line="240" w:lineRule="auto"/>
        <w:jc w:val="both"/>
        <w:rPr>
          <w:rFonts w:ascii="Times New Roman" w:hAnsi="Times New Roman" w:cs="Times New Roman"/>
          <w:b/>
          <w:sz w:val="24"/>
          <w:szCs w:val="24"/>
        </w:rPr>
      </w:pPr>
      <w:r w:rsidRPr="005C34B3">
        <w:rPr>
          <w:rFonts w:ascii="Times New Roman" w:hAnsi="Times New Roman" w:cs="Times New Roman"/>
          <w:b/>
          <w:sz w:val="24"/>
          <w:szCs w:val="24"/>
        </w:rPr>
        <w:t>O Hochdeutsch na paisagem linguística da Colônia Witmarsum</w:t>
      </w:r>
    </w:p>
    <w:p w:rsidR="00F64385" w:rsidRPr="00F64385" w:rsidRDefault="00F64385"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sz w:val="24"/>
          <w:szCs w:val="24"/>
        </w:rPr>
        <w:tab/>
        <w:t xml:space="preserve">O Hochdeutsch, a língua </w:t>
      </w:r>
      <w:r w:rsidRPr="00F64385">
        <w:rPr>
          <w:rFonts w:ascii="Times New Roman" w:hAnsi="Times New Roman" w:cs="Times New Roman"/>
          <w:i/>
          <w:sz w:val="24"/>
          <w:szCs w:val="24"/>
        </w:rPr>
        <w:t xml:space="preserve">standart </w:t>
      </w:r>
      <w:r w:rsidRPr="00F64385">
        <w:rPr>
          <w:rFonts w:ascii="Times New Roman" w:hAnsi="Times New Roman" w:cs="Times New Roman"/>
          <w:sz w:val="24"/>
          <w:szCs w:val="24"/>
        </w:rPr>
        <w:t>ou alemão padrão é representado com mais evidência na paisagem l</w:t>
      </w:r>
      <w:r w:rsidR="00FE63D7">
        <w:rPr>
          <w:rFonts w:ascii="Times New Roman" w:hAnsi="Times New Roman" w:cs="Times New Roman"/>
          <w:sz w:val="24"/>
          <w:szCs w:val="24"/>
        </w:rPr>
        <w:t xml:space="preserve">inguística da Colônia Witmarsum, configurando um quantitativo de </w:t>
      </w:r>
      <w:r w:rsidR="008B26C0">
        <w:rPr>
          <w:rFonts w:ascii="Times New Roman" w:hAnsi="Times New Roman" w:cs="Times New Roman"/>
          <w:sz w:val="24"/>
          <w:szCs w:val="24"/>
        </w:rPr>
        <w:t>48 marcações</w:t>
      </w:r>
      <w:r w:rsidR="00FE63D7">
        <w:rPr>
          <w:rFonts w:ascii="Times New Roman" w:hAnsi="Times New Roman" w:cs="Times New Roman"/>
          <w:sz w:val="24"/>
          <w:szCs w:val="24"/>
        </w:rPr>
        <w:t xml:space="preserve"> na paisagem linguística do local.</w:t>
      </w:r>
      <w:r w:rsidRPr="00F64385">
        <w:rPr>
          <w:rFonts w:ascii="Times New Roman" w:hAnsi="Times New Roman" w:cs="Times New Roman"/>
          <w:sz w:val="24"/>
          <w:szCs w:val="24"/>
        </w:rPr>
        <w:t xml:space="preserve"> Considerada como língua de prestígio é usada na igreja, nos cultos; e no colégio, como língua estrangeira. Historicamente, as comunidades menonitas tinham o costume de comunicarem-se no âmbito familiar em Plautdietsch, e fora dele, em Hochdeutsch. Devido a isso, entendemos a maior incidência do alemão padrão nos sinais representados no espaço público da colônia em estudo.</w:t>
      </w:r>
      <w:r w:rsidR="00FE63D7">
        <w:rPr>
          <w:rFonts w:ascii="Times New Roman" w:hAnsi="Times New Roman" w:cs="Times New Roman"/>
          <w:sz w:val="24"/>
          <w:szCs w:val="24"/>
        </w:rPr>
        <w:t xml:space="preserve"> A seguir apresentamos algumas unidades em que o alemão padrão é marcado na paisagem linguística da colônia.</w:t>
      </w:r>
    </w:p>
    <w:p w:rsidR="00F64385" w:rsidRPr="00F64385" w:rsidRDefault="00F64385"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noProof/>
          <w:sz w:val="24"/>
          <w:szCs w:val="24"/>
          <w:lang w:eastAsia="pt-BR"/>
        </w:rPr>
        <mc:AlternateContent>
          <mc:Choice Requires="wps">
            <w:drawing>
              <wp:anchor distT="0" distB="0" distL="114300" distR="114300" simplePos="0" relativeHeight="251673600" behindDoc="0" locked="0" layoutInCell="0" allowOverlap="1" wp14:anchorId="26CA557F" wp14:editId="3B3EAAA0">
                <wp:simplePos x="0" y="0"/>
                <wp:positionH relativeFrom="column">
                  <wp:posOffset>60960</wp:posOffset>
                </wp:positionH>
                <wp:positionV relativeFrom="paragraph">
                  <wp:posOffset>313055</wp:posOffset>
                </wp:positionV>
                <wp:extent cx="5010785" cy="181610"/>
                <wp:effectExtent l="0" t="0" r="0" b="9525"/>
                <wp:wrapSquare wrapText="bothSides"/>
                <wp:docPr id="13" name="Caixa de texto 4"/>
                <wp:cNvGraphicFramePr/>
                <a:graphic xmlns:a="http://schemas.openxmlformats.org/drawingml/2006/main">
                  <a:graphicData uri="http://schemas.microsoft.com/office/word/2010/wordprocessingShape">
                    <wps:wsp>
                      <wps:cNvSpPr/>
                      <wps:spPr>
                        <a:xfrm>
                          <a:off x="0" y="0"/>
                          <a:ext cx="5010120" cy="181080"/>
                        </a:xfrm>
                        <a:prstGeom prst="rect">
                          <a:avLst/>
                        </a:prstGeom>
                        <a:solidFill>
                          <a:srgbClr val="FFFFFF"/>
                        </a:solidFill>
                        <a:ln w="0">
                          <a:noFill/>
                        </a:ln>
                        <a:effectLst/>
                      </wps:spPr>
                      <wps:txbx>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7 – Propriedade Particular                                      Figura 8 - Cemitério</w:t>
                            </w:r>
                          </w:p>
                        </w:txbxContent>
                      </wps:txbx>
                      <wps:bodyPr lIns="0" tIns="0" rIns="0" bIns="0" anchor="t">
                        <a:prstTxWarp prst="textNoShape">
                          <a:avLst/>
                        </a:prstTxWarp>
                        <a:noAutofit/>
                      </wps:bodyPr>
                    </wps:wsp>
                  </a:graphicData>
                </a:graphic>
              </wp:anchor>
            </w:drawing>
          </mc:Choice>
          <mc:Fallback>
            <w:pict>
              <v:rect w14:anchorId="26CA557F" id="Caixa de texto 4" o:spid="_x0000_s1029" style="position:absolute;left:0;text-align:left;margin-left:4.8pt;margin-top:24.65pt;width:394.55pt;height:14.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" o:allowincell="f" stroked="f" strokeweight="0">
                <v:textbox inset="0,0,0,0">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7 – Propriedade Particular                                     </w:t>
                      </w:r>
                      <w:proofErr w:type="gramStart"/>
                      <w:r>
                        <w:rPr>
                          <w:rFonts w:ascii="Garamond" w:hAnsi="Garamond"/>
                          <w:b/>
                          <w:i w:val="0"/>
                          <w:color w:val="auto"/>
                          <w:sz w:val="20"/>
                          <w:szCs w:val="20"/>
                        </w:rPr>
                        <w:t xml:space="preserve"> Figura</w:t>
                      </w:r>
                      <w:proofErr w:type="gramEnd"/>
                      <w:r>
                        <w:rPr>
                          <w:rFonts w:ascii="Garamond" w:hAnsi="Garamond"/>
                          <w:b/>
                          <w:i w:val="0"/>
                          <w:color w:val="auto"/>
                          <w:sz w:val="20"/>
                          <w:szCs w:val="20"/>
                        </w:rPr>
                        <w:t xml:space="preserve"> 8 - Cemitério</w:t>
                      </w:r>
                    </w:p>
                  </w:txbxContent>
                </v:textbox>
                <w10:wrap type="square"/>
              </v:rect>
            </w:pict>
          </mc:Fallback>
        </mc:AlternateContent>
      </w:r>
    </w:p>
    <w:p w:rsidR="00F64385" w:rsidRPr="00F64385" w:rsidRDefault="00F64385" w:rsidP="00F64385">
      <w:pPr>
        <w:suppressAutoHyphens/>
        <w:spacing w:after="0" w:line="240" w:lineRule="auto"/>
        <w:jc w:val="both"/>
        <w:rPr>
          <w:rFonts w:ascii="Times New Roman" w:hAnsi="Times New Roman" w:cs="Times New Roman"/>
          <w:sz w:val="20"/>
          <w:szCs w:val="20"/>
        </w:rPr>
      </w:pPr>
      <w:r w:rsidRPr="00F64385">
        <w:rPr>
          <w:rFonts w:ascii="Times New Roman" w:hAnsi="Times New Roman" w:cs="Times New Roman"/>
          <w:noProof/>
          <w:sz w:val="20"/>
          <w:szCs w:val="20"/>
          <w:lang w:eastAsia="pt-BR"/>
        </w:rPr>
        <w:drawing>
          <wp:anchor distT="0" distB="0" distL="0" distR="113665" simplePos="0" relativeHeight="251666432" behindDoc="0" locked="0" layoutInCell="0" allowOverlap="1" wp14:anchorId="6E248C85" wp14:editId="0B2FC6B3">
            <wp:simplePos x="0" y="0"/>
            <wp:positionH relativeFrom="margin">
              <wp:align>left</wp:align>
            </wp:positionH>
            <wp:positionV relativeFrom="paragraph">
              <wp:posOffset>376555</wp:posOffset>
            </wp:positionV>
            <wp:extent cx="1872615" cy="1753870"/>
            <wp:effectExtent l="76200" t="76200" r="128270" b="132715"/>
            <wp:wrapSquare wrapText="bothSides"/>
            <wp:docPr id="15" name="Imagem 79" descr="C:\Users\Janaina P. Andrade\Desktop\Sinais extras\54fde052-4717-4eb0-87c2-556c224c1fc2.jpg"/>
            <wp:cNvGraphicFramePr/>
            <a:graphic xmlns:a="http://schemas.openxmlformats.org/drawingml/2006/main">
              <a:graphicData uri="http://schemas.openxmlformats.org/drawingml/2006/picture">
                <pic:pic xmlns:pic="http://schemas.openxmlformats.org/drawingml/2006/picture">
                  <pic:nvPicPr>
                    <pic:cNvPr id="6" name="Imagem 79" descr="C:\Users\Janaina P. Andrade\Desktop\Sinais extras\54fde052-4717-4eb0-87c2-556c224c1fc2.jpg"/>
                    <pic:cNvPicPr/>
                  </pic:nvPicPr>
                  <pic:blipFill>
                    <a:blip r:embed="rId14"/>
                    <a:srcRect l="8520" t="13959" r="9685" b="10313"/>
                    <a:stretch/>
                  </pic:blipFill>
                  <pic:spPr>
                    <a:xfrm>
                      <a:off x="0" y="0"/>
                      <a:ext cx="1872000" cy="175320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r w:rsidRPr="00F64385">
        <w:rPr>
          <w:rFonts w:ascii="Times New Roman" w:hAnsi="Times New Roman" w:cs="Times New Roman"/>
          <w:noProof/>
          <w:sz w:val="20"/>
          <w:szCs w:val="20"/>
          <w:lang w:eastAsia="pt-BR"/>
        </w:rPr>
        <w:drawing>
          <wp:anchor distT="0" distB="0" distL="114300" distR="114300" simplePos="0" relativeHeight="251669504" behindDoc="0" locked="0" layoutInCell="0" allowOverlap="1" wp14:anchorId="42E68896" wp14:editId="2112A7E1">
            <wp:simplePos x="0" y="0"/>
            <wp:positionH relativeFrom="margin">
              <wp:posOffset>2367915</wp:posOffset>
            </wp:positionH>
            <wp:positionV relativeFrom="paragraph">
              <wp:posOffset>376555</wp:posOffset>
            </wp:positionV>
            <wp:extent cx="2751455" cy="1744345"/>
            <wp:effectExtent l="76200" t="76200" r="125730" b="142240"/>
            <wp:wrapSquare wrapText="bothSides"/>
            <wp:docPr id="16" name="Imagem 17" descr="C:\Users\Janaina P. Andrade\Desktop\Sinais não oficiais\19- Cemitério\Unidade 19.jpg"/>
            <wp:cNvGraphicFramePr/>
            <a:graphic xmlns:a="http://schemas.openxmlformats.org/drawingml/2006/main">
              <a:graphicData uri="http://schemas.openxmlformats.org/drawingml/2006/picture">
                <pic:pic xmlns:pic="http://schemas.openxmlformats.org/drawingml/2006/picture">
                  <pic:nvPicPr>
                    <pic:cNvPr id="7" name="Imagem 17" descr="C:\Users\Janaina P. Andrade\Desktop\Sinais não oficiais\19- Cemitério\Unidade 19.jpg"/>
                    <pic:cNvPicPr/>
                  </pic:nvPicPr>
                  <pic:blipFill>
                    <a:blip r:embed="rId15"/>
                    <a:srcRect l="8296" t="29163" r="19522" b="7784"/>
                    <a:stretch/>
                  </pic:blipFill>
                  <pic:spPr>
                    <a:xfrm>
                      <a:off x="0" y="0"/>
                      <a:ext cx="2750760" cy="174384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F64385" w:rsidRPr="00F64385" w:rsidRDefault="00F64385" w:rsidP="00F64385">
      <w:pPr>
        <w:suppressAutoHyphens/>
        <w:spacing w:after="0" w:line="240" w:lineRule="auto"/>
        <w:jc w:val="center"/>
        <w:rPr>
          <w:rFonts w:ascii="Times New Roman" w:hAnsi="Times New Roman" w:cs="Times New Roman"/>
          <w:sz w:val="20"/>
          <w:szCs w:val="20"/>
        </w:rPr>
      </w:pPr>
      <w:r w:rsidRPr="00F64385">
        <w:rPr>
          <w:rFonts w:ascii="Times New Roman" w:hAnsi="Times New Roman" w:cs="Times New Roman"/>
          <w:sz w:val="20"/>
          <w:szCs w:val="20"/>
        </w:rPr>
        <w:t>Fonte: Dados coletados pela autora (2022).</w:t>
      </w:r>
    </w:p>
    <w:p w:rsidR="00F64385" w:rsidRPr="00F64385" w:rsidRDefault="00F64385" w:rsidP="00F64385">
      <w:pPr>
        <w:suppressAutoHyphens/>
        <w:spacing w:after="0" w:line="240" w:lineRule="auto"/>
        <w:jc w:val="center"/>
        <w:rPr>
          <w:rFonts w:ascii="Times New Roman" w:hAnsi="Times New Roman" w:cs="Times New Roman"/>
          <w:sz w:val="24"/>
          <w:szCs w:val="24"/>
        </w:rPr>
      </w:pPr>
    </w:p>
    <w:p w:rsidR="00F64385" w:rsidRPr="00F64385" w:rsidRDefault="00CC4D4A"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noProof/>
          <w:sz w:val="24"/>
          <w:szCs w:val="24"/>
          <w:lang w:eastAsia="pt-BR"/>
        </w:rPr>
        <mc:AlternateContent>
          <mc:Choice Requires="wps">
            <w:drawing>
              <wp:anchor distT="0" distB="0" distL="114300" distR="114300" simplePos="0" relativeHeight="251674624" behindDoc="0" locked="0" layoutInCell="0" allowOverlap="1" wp14:anchorId="1FBB623D" wp14:editId="72B49260">
                <wp:simplePos x="0" y="0"/>
                <wp:positionH relativeFrom="margin">
                  <wp:align>right</wp:align>
                </wp:positionH>
                <wp:positionV relativeFrom="paragraph">
                  <wp:posOffset>824209</wp:posOffset>
                </wp:positionV>
                <wp:extent cx="5182235" cy="139065"/>
                <wp:effectExtent l="0" t="0" r="0" b="0"/>
                <wp:wrapSquare wrapText="bothSides"/>
                <wp:docPr id="19" name="Caixa de texto 5"/>
                <wp:cNvGraphicFramePr/>
                <a:graphic xmlns:a="http://schemas.openxmlformats.org/drawingml/2006/main">
                  <a:graphicData uri="http://schemas.microsoft.com/office/word/2010/wordprocessingShape">
                    <wps:wsp>
                      <wps:cNvSpPr/>
                      <wps:spPr>
                        <a:xfrm>
                          <a:off x="0" y="0"/>
                          <a:ext cx="5182235" cy="139065"/>
                        </a:xfrm>
                        <a:prstGeom prst="rect">
                          <a:avLst/>
                        </a:prstGeom>
                        <a:solidFill>
                          <a:srgbClr val="FFFFFF"/>
                        </a:solidFill>
                        <a:ln w="0">
                          <a:noFill/>
                        </a:ln>
                        <a:effectLst/>
                      </wps:spPr>
                      <wps:txbx>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9 – Lápide                                                  Figura 10 – Estação Meteorológica</w:t>
                            </w:r>
                          </w:p>
                        </w:txbxContent>
                      </wps:txbx>
                      <wps:bodyPr lIns="0" tIns="0" rIns="0" bIns="0" anchor="t">
                        <a:prstTxWarp prst="textNoShape">
                          <a:avLst/>
                        </a:prstTxWarp>
                        <a:noAutofit/>
                      </wps:bodyPr>
                    </wps:wsp>
                  </a:graphicData>
                </a:graphic>
              </wp:anchor>
            </w:drawing>
          </mc:Choice>
          <mc:Fallback>
            <w:pict>
              <v:rect w14:anchorId="1FBB623D" id="Caixa de texto 5" o:spid="_x0000_s1030" style="position:absolute;left:0;text-align:left;margin-left:356.85pt;margin-top:64.9pt;width:408.05pt;height:10.95pt;z-index:2516746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" o:allowincell="f" stroked="f" strokeweight="0">
                <v:textbox inset="0,0,0,0">
                  <w:txbxContent>
                    <w:p w:rsidR="00F64385" w:rsidRDefault="00F64385" w:rsidP="00F64385">
                      <w:pPr>
                        <w:pStyle w:val="Legenda"/>
                        <w:rPr>
                          <w:rFonts w:ascii="Garamond" w:hAnsi="Garamond" w:cs="Times New Roman"/>
                          <w:b/>
                          <w:i w:val="0"/>
                          <w:color w:val="auto"/>
                          <w:sz w:val="20"/>
                          <w:szCs w:val="20"/>
                        </w:rPr>
                      </w:pPr>
                      <w:r>
                        <w:rPr>
                          <w:rFonts w:ascii="Garamond" w:hAnsi="Garamond"/>
                          <w:b/>
                          <w:i w:val="0"/>
                          <w:color w:val="auto"/>
                          <w:sz w:val="20"/>
                          <w:szCs w:val="20"/>
                        </w:rPr>
                        <w:t xml:space="preserve">                  Figura 9 – Lápide                                                  Figura 10 – Estação Meteorológica</w:t>
                      </w:r>
                    </w:p>
                  </w:txbxContent>
                </v:textbox>
                <w10:wrap type="square" anchorx="margin"/>
              </v:rect>
            </w:pict>
          </mc:Fallback>
        </mc:AlternateContent>
      </w:r>
      <w:r w:rsidR="00F64385" w:rsidRPr="00F64385">
        <w:rPr>
          <w:rFonts w:ascii="Times New Roman" w:hAnsi="Times New Roman" w:cs="Times New Roman"/>
          <w:sz w:val="24"/>
          <w:szCs w:val="24"/>
        </w:rPr>
        <w:tab/>
        <w:t xml:space="preserve">A primeira inscrição </w:t>
      </w:r>
      <w:r w:rsidR="00F64385" w:rsidRPr="00F64385">
        <w:rPr>
          <w:rFonts w:ascii="Times New Roman" w:hAnsi="Times New Roman" w:cs="Times New Roman"/>
          <w:i/>
          <w:sz w:val="24"/>
          <w:szCs w:val="24"/>
        </w:rPr>
        <w:t xml:space="preserve">Sonnenhof </w:t>
      </w:r>
      <w:r w:rsidR="00F64385" w:rsidRPr="00F64385">
        <w:rPr>
          <w:rFonts w:ascii="Times New Roman" w:hAnsi="Times New Roman" w:cs="Times New Roman"/>
          <w:sz w:val="24"/>
          <w:szCs w:val="24"/>
        </w:rPr>
        <w:t>significa “Chácara do Sol”, ou “Pátio do Sol” e é uma propriedade particular. Percebemos uma significativa incidência de placas desse tipo, todas em alemão padrão.  A figura 8 é a placa do cemitério, é um sinal bilíngue, que foi emitido pela associação dos moradores da colônia.</w:t>
      </w:r>
    </w:p>
    <w:p w:rsidR="00F64385" w:rsidRPr="00F64385" w:rsidRDefault="00F64385" w:rsidP="00F64385">
      <w:pPr>
        <w:suppressAutoHyphens/>
        <w:spacing w:after="0" w:line="240" w:lineRule="auto"/>
        <w:jc w:val="both"/>
        <w:rPr>
          <w:rFonts w:ascii="Times New Roman" w:hAnsi="Times New Roman" w:cs="Times New Roman"/>
          <w:sz w:val="24"/>
          <w:szCs w:val="24"/>
        </w:rPr>
      </w:pPr>
      <w:r w:rsidRPr="00F64385">
        <w:rPr>
          <w:rFonts w:ascii="Times New Roman" w:hAnsi="Times New Roman" w:cs="Times New Roman"/>
          <w:noProof/>
          <w:sz w:val="24"/>
          <w:szCs w:val="24"/>
          <w:lang w:eastAsia="pt-BR"/>
        </w:rPr>
        <w:drawing>
          <wp:anchor distT="19050" distB="19050" distL="133350" distR="133350" simplePos="0" relativeHeight="251665408" behindDoc="0" locked="0" layoutInCell="0" allowOverlap="1" wp14:anchorId="63BF1DDB" wp14:editId="35E94076">
            <wp:simplePos x="0" y="0"/>
            <wp:positionH relativeFrom="margin">
              <wp:posOffset>3101975</wp:posOffset>
            </wp:positionH>
            <wp:positionV relativeFrom="paragraph">
              <wp:posOffset>452755</wp:posOffset>
            </wp:positionV>
            <wp:extent cx="2127250" cy="2077720"/>
            <wp:effectExtent l="81915" t="70485" r="127000" b="127000"/>
            <wp:wrapSquare wrapText="bothSides"/>
            <wp:docPr id="17" name="Imagem 42" descr="C:\Users\Janaina P. Andrade\Desktop\Sinais não oficiais\21 - Toll\Subunidade 21.1.jpg"/>
            <wp:cNvGraphicFramePr/>
            <a:graphic xmlns:a="http://schemas.openxmlformats.org/drawingml/2006/main">
              <a:graphicData uri="http://schemas.openxmlformats.org/drawingml/2006/picture">
                <pic:pic xmlns:pic="http://schemas.openxmlformats.org/drawingml/2006/picture">
                  <pic:nvPicPr>
                    <pic:cNvPr id="8" name="Imagem 42" descr="C:\Users\Janaina P. Andrade\Desktop\Sinais não oficiais\21 - Toll\Subunidade 21.1.jpg"/>
                    <pic:cNvPicPr/>
                  </pic:nvPicPr>
                  <pic:blipFill>
                    <a:blip r:embed="rId16"/>
                    <a:srcRect l="3872" t="11858" r="15257" b="2106"/>
                    <a:stretch/>
                  </pic:blipFill>
                  <pic:spPr>
                    <a:xfrm rot="5400000">
                      <a:off x="0" y="0"/>
                      <a:ext cx="2126520" cy="207720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r w:rsidRPr="00F64385">
        <w:rPr>
          <w:rFonts w:ascii="Times New Roman" w:hAnsi="Times New Roman" w:cs="Times New Roman"/>
          <w:noProof/>
          <w:sz w:val="24"/>
          <w:szCs w:val="24"/>
          <w:lang w:eastAsia="pt-BR"/>
        </w:rPr>
        <w:drawing>
          <wp:anchor distT="0" distB="0" distL="0" distR="113665" simplePos="0" relativeHeight="251667456" behindDoc="0" locked="0" layoutInCell="0" allowOverlap="1" wp14:anchorId="505AC9E8" wp14:editId="4600975B">
            <wp:simplePos x="0" y="0"/>
            <wp:positionH relativeFrom="margin">
              <wp:align>left</wp:align>
            </wp:positionH>
            <wp:positionV relativeFrom="paragraph">
              <wp:posOffset>422275</wp:posOffset>
            </wp:positionV>
            <wp:extent cx="2572385" cy="2106295"/>
            <wp:effectExtent l="76200" t="76200" r="133350" b="142240"/>
            <wp:wrapSquare wrapText="bothSides"/>
            <wp:docPr id="18" name="Imagem 35"/>
            <wp:cNvGraphicFramePr/>
            <a:graphic xmlns:a="http://schemas.openxmlformats.org/drawingml/2006/main">
              <a:graphicData uri="http://schemas.openxmlformats.org/drawingml/2006/picture">
                <pic:pic xmlns:pic="http://schemas.openxmlformats.org/drawingml/2006/picture">
                  <pic:nvPicPr>
                    <pic:cNvPr id="9" name="Imagem 35"/>
                    <pic:cNvPicPr/>
                  </pic:nvPicPr>
                  <pic:blipFill>
                    <a:blip r:embed="rId17"/>
                    <a:stretch/>
                  </pic:blipFill>
                  <pic:spPr>
                    <a:xfrm>
                      <a:off x="0" y="0"/>
                      <a:ext cx="2571840" cy="210564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CC4D4A" w:rsidRDefault="00CC4D4A" w:rsidP="00F64385">
      <w:pPr>
        <w:suppressAutoHyphens/>
        <w:spacing w:after="0" w:line="240" w:lineRule="auto"/>
        <w:jc w:val="center"/>
        <w:rPr>
          <w:rFonts w:ascii="Times New Roman" w:hAnsi="Times New Roman" w:cs="Times New Roman"/>
          <w:sz w:val="24"/>
          <w:szCs w:val="24"/>
        </w:rPr>
      </w:pPr>
    </w:p>
    <w:p w:rsidR="00CC4D4A" w:rsidRDefault="00CC4D4A" w:rsidP="00F64385">
      <w:pPr>
        <w:suppressAutoHyphens/>
        <w:spacing w:after="0" w:line="240" w:lineRule="auto"/>
        <w:jc w:val="center"/>
        <w:rPr>
          <w:rFonts w:ascii="Times New Roman" w:hAnsi="Times New Roman" w:cs="Times New Roman"/>
          <w:sz w:val="24"/>
          <w:szCs w:val="24"/>
        </w:rPr>
      </w:pPr>
    </w:p>
    <w:p w:rsidR="00CC4D4A" w:rsidRDefault="00CC4D4A" w:rsidP="00F64385">
      <w:pPr>
        <w:suppressAutoHyphens/>
        <w:spacing w:after="0" w:line="240" w:lineRule="auto"/>
        <w:jc w:val="center"/>
        <w:rPr>
          <w:rFonts w:ascii="Times New Roman" w:hAnsi="Times New Roman" w:cs="Times New Roman"/>
          <w:sz w:val="24"/>
          <w:szCs w:val="24"/>
        </w:rPr>
      </w:pPr>
    </w:p>
    <w:p w:rsidR="00F64385" w:rsidRPr="00F64385" w:rsidRDefault="00F64385" w:rsidP="00F64385">
      <w:pPr>
        <w:suppressAutoHyphens/>
        <w:spacing w:after="0" w:line="240" w:lineRule="auto"/>
        <w:jc w:val="center"/>
        <w:rPr>
          <w:rFonts w:ascii="Times New Roman" w:hAnsi="Times New Roman" w:cs="Times New Roman"/>
          <w:sz w:val="24"/>
          <w:szCs w:val="24"/>
        </w:rPr>
      </w:pPr>
    </w:p>
    <w:p w:rsidR="00CC4D4A" w:rsidRDefault="00CC4D4A" w:rsidP="00F64385">
      <w:pPr>
        <w:suppressAutoHyphens/>
        <w:spacing w:after="0" w:line="240" w:lineRule="auto"/>
        <w:jc w:val="center"/>
        <w:rPr>
          <w:rFonts w:ascii="Times New Roman" w:hAnsi="Times New Roman" w:cs="Times New Roman"/>
          <w:sz w:val="20"/>
          <w:szCs w:val="20"/>
        </w:rPr>
      </w:pPr>
    </w:p>
    <w:p w:rsidR="00CC4D4A" w:rsidRDefault="00CC4D4A" w:rsidP="00F64385">
      <w:pPr>
        <w:suppressAutoHyphens/>
        <w:spacing w:after="0" w:line="240" w:lineRule="auto"/>
        <w:jc w:val="center"/>
        <w:rPr>
          <w:rFonts w:ascii="Times New Roman" w:hAnsi="Times New Roman" w:cs="Times New Roman"/>
          <w:sz w:val="20"/>
          <w:szCs w:val="20"/>
        </w:rPr>
      </w:pPr>
      <w:r w:rsidRPr="00F64385">
        <w:rPr>
          <w:rFonts w:ascii="Times New Roman" w:hAnsi="Times New Roman" w:cs="Times New Roman"/>
          <w:noProof/>
          <w:sz w:val="24"/>
          <w:szCs w:val="24"/>
          <w:lang w:eastAsia="pt-BR"/>
        </w:rPr>
        <mc:AlternateContent>
          <mc:Choice Requires="wps">
            <w:drawing>
              <wp:anchor distT="0" distB="0" distL="114300" distR="114300" simplePos="0" relativeHeight="251675648" behindDoc="0" locked="0" layoutInCell="0" allowOverlap="1" wp14:anchorId="4B83634D" wp14:editId="0A854BFB">
                <wp:simplePos x="0" y="0"/>
                <wp:positionH relativeFrom="margin">
                  <wp:posOffset>573363</wp:posOffset>
                </wp:positionH>
                <wp:positionV relativeFrom="paragraph">
                  <wp:posOffset>8473</wp:posOffset>
                </wp:positionV>
                <wp:extent cx="4286885" cy="139065"/>
                <wp:effectExtent l="0" t="0" r="0" b="0"/>
                <wp:wrapSquare wrapText="bothSides"/>
                <wp:docPr id="23" name="Caixa de texto 6"/>
                <wp:cNvGraphicFramePr/>
                <a:graphic xmlns:a="http://schemas.openxmlformats.org/drawingml/2006/main">
                  <a:graphicData uri="http://schemas.microsoft.com/office/word/2010/wordprocessingShape">
                    <wps:wsp>
                      <wps:cNvSpPr/>
                      <wps:spPr>
                        <a:xfrm>
                          <a:off x="0" y="0"/>
                          <a:ext cx="4286885" cy="139065"/>
                        </a:xfrm>
                        <a:prstGeom prst="rect">
                          <a:avLst/>
                        </a:prstGeom>
                        <a:solidFill>
                          <a:srgbClr val="FFFFFF"/>
                        </a:solidFill>
                        <a:ln w="0">
                          <a:noFill/>
                        </a:ln>
                        <a:effectLst/>
                      </wps:spPr>
                      <wps:txbx>
                        <w:txbxContent>
                          <w:p w:rsidR="00F64385" w:rsidRDefault="00F64385" w:rsidP="00CC4D4A">
                            <w:pPr>
                              <w:pStyle w:val="Legenda"/>
                              <w:jc w:val="center"/>
                              <w:rPr>
                                <w:rFonts w:ascii="Garamond" w:hAnsi="Garamond" w:cs="Times New Roman"/>
                                <w:b/>
                                <w:i w:val="0"/>
                                <w:color w:val="auto"/>
                                <w:sz w:val="20"/>
                                <w:szCs w:val="20"/>
                              </w:rPr>
                            </w:pPr>
                            <w:r>
                              <w:rPr>
                                <w:rFonts w:ascii="Garamond" w:hAnsi="Garamond"/>
                                <w:b/>
                                <w:i w:val="0"/>
                                <w:color w:val="auto"/>
                                <w:sz w:val="20"/>
                                <w:szCs w:val="20"/>
                              </w:rPr>
                              <w:t>Figura 11 – Placa informativa                                    Figura 12 – Placa decorativa</w:t>
                            </w:r>
                          </w:p>
                        </w:txbxContent>
                      </wps:txbx>
                      <wps:bodyPr lIns="0" tIns="0" rIns="0" bIns="0" anchor="t">
                        <a:prstTxWarp prst="textNoShape">
                          <a:avLst/>
                        </a:prstTxWarp>
                        <a:noAutofit/>
                      </wps:bodyPr>
                    </wps:wsp>
                  </a:graphicData>
                </a:graphic>
              </wp:anchor>
            </w:drawing>
          </mc:Choice>
          <mc:Fallback>
            <w:pict>
              <v:rect w14:anchorId="4B83634D" id="Caixa de texto 6" o:spid="_x0000_s1031" style="position:absolute;left:0;text-align:left;margin-left:45.15pt;margin-top:.65pt;width:337.55pt;height:10.95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" o:allowincell="f" stroked="f" strokeweight="0">
                <v:textbox inset="0,0,0,0">
                  <w:txbxContent>
                    <w:p w:rsidR="00F64385" w:rsidRDefault="00F64385" w:rsidP="00CC4D4A">
                      <w:pPr>
                        <w:pStyle w:val="Legenda"/>
                        <w:jc w:val="center"/>
                        <w:rPr>
                          <w:rFonts w:ascii="Garamond" w:hAnsi="Garamond" w:cs="Times New Roman"/>
                          <w:b/>
                          <w:i w:val="0"/>
                          <w:color w:val="auto"/>
                          <w:sz w:val="20"/>
                          <w:szCs w:val="20"/>
                        </w:rPr>
                      </w:pPr>
                      <w:r>
                        <w:rPr>
                          <w:rFonts w:ascii="Garamond" w:hAnsi="Garamond"/>
                          <w:b/>
                          <w:i w:val="0"/>
                          <w:color w:val="auto"/>
                          <w:sz w:val="20"/>
                          <w:szCs w:val="20"/>
                        </w:rPr>
                        <w:t>Figura 11 – Placa informativa                                    Figura 12 – Placa decorativa</w:t>
                      </w:r>
                    </w:p>
                  </w:txbxContent>
                </v:textbox>
                <w10:wrap type="square" anchorx="margin"/>
              </v:rect>
            </w:pict>
          </mc:Fallback>
        </mc:AlternateContent>
      </w:r>
      <w:r w:rsidRPr="00F64385">
        <w:rPr>
          <w:rFonts w:ascii="Times New Roman" w:hAnsi="Times New Roman" w:cs="Times New Roman"/>
          <w:noProof/>
          <w:sz w:val="24"/>
          <w:szCs w:val="24"/>
          <w:lang w:eastAsia="pt-BR"/>
        </w:rPr>
        <w:drawing>
          <wp:anchor distT="0" distB="0" distL="114300" distR="114300" simplePos="0" relativeHeight="251670528" behindDoc="0" locked="0" layoutInCell="0" allowOverlap="1" wp14:anchorId="14607360" wp14:editId="5336DF26">
            <wp:simplePos x="0" y="0"/>
            <wp:positionH relativeFrom="margin">
              <wp:posOffset>2652593</wp:posOffset>
            </wp:positionH>
            <wp:positionV relativeFrom="paragraph">
              <wp:posOffset>219460</wp:posOffset>
            </wp:positionV>
            <wp:extent cx="2691130" cy="1499870"/>
            <wp:effectExtent l="76200" t="76200" r="128270" b="138430"/>
            <wp:wrapSquare wrapText="bothSides"/>
            <wp:docPr id="21" name="Imagem 63" descr="C:\Users\Janaina P. Andrade\Desktop\Sinais não oficiais\31 - Frutilhas Löwen\49f4eb9e-aaff-48ef-89f9-5a80df4d5391.jpg"/>
            <wp:cNvGraphicFramePr/>
            <a:graphic xmlns:a="http://schemas.openxmlformats.org/drawingml/2006/main">
              <a:graphicData uri="http://schemas.openxmlformats.org/drawingml/2006/picture">
                <pic:pic xmlns:pic="http://schemas.openxmlformats.org/drawingml/2006/picture">
                  <pic:nvPicPr>
                    <pic:cNvPr id="10" name="Imagem 63" descr="C:\Users\Janaina P. Andrade\Desktop\Sinais não oficiais\31 - Frutilhas Löwen\49f4eb9e-aaff-48ef-89f9-5a80df4d5391.jpg"/>
                    <pic:cNvPicPr/>
                  </pic:nvPicPr>
                  <pic:blipFill>
                    <a:blip r:embed="rId18"/>
                    <a:srcRect l="3099" t="18753" r="5673" b="23084"/>
                    <a:stretch/>
                  </pic:blipFill>
                  <pic:spPr>
                    <a:xfrm>
                      <a:off x="0" y="0"/>
                      <a:ext cx="2691130" cy="149987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CC4D4A" w:rsidRDefault="00CC4D4A" w:rsidP="00CC4D4A">
      <w:pPr>
        <w:suppressAutoHyphens/>
        <w:spacing w:after="0" w:line="240" w:lineRule="auto"/>
        <w:rPr>
          <w:rFonts w:ascii="Times New Roman" w:hAnsi="Times New Roman" w:cs="Times New Roman"/>
          <w:sz w:val="20"/>
          <w:szCs w:val="20"/>
        </w:rPr>
      </w:pPr>
      <w:r w:rsidRPr="00F64385">
        <w:rPr>
          <w:rFonts w:ascii="Times New Roman" w:hAnsi="Times New Roman" w:cs="Times New Roman"/>
          <w:noProof/>
          <w:sz w:val="24"/>
          <w:szCs w:val="24"/>
          <w:lang w:eastAsia="pt-BR"/>
        </w:rPr>
        <w:drawing>
          <wp:anchor distT="0" distB="0" distL="114300" distR="114300" simplePos="0" relativeHeight="251679744" behindDoc="0" locked="0" layoutInCell="0" allowOverlap="1" wp14:anchorId="2233D513" wp14:editId="39821132">
            <wp:simplePos x="0" y="0"/>
            <wp:positionH relativeFrom="margin">
              <wp:posOffset>374890</wp:posOffset>
            </wp:positionH>
            <wp:positionV relativeFrom="paragraph">
              <wp:posOffset>82051</wp:posOffset>
            </wp:positionV>
            <wp:extent cx="2086610" cy="1492250"/>
            <wp:effectExtent l="76200" t="76200" r="142240" b="127000"/>
            <wp:wrapSquare wrapText="bothSides"/>
            <wp:docPr id="22" name="Imagem 87" descr="C:\Users\Janaina P. Andrade\Desktop\Fotos Witmarsum\sanitários.jpg"/>
            <wp:cNvGraphicFramePr/>
            <a:graphic xmlns:a="http://schemas.openxmlformats.org/drawingml/2006/main">
              <a:graphicData uri="http://schemas.openxmlformats.org/drawingml/2006/picture">
                <pic:pic xmlns:pic="http://schemas.openxmlformats.org/drawingml/2006/picture">
                  <pic:nvPicPr>
                    <pic:cNvPr id="11" name="Imagem 87" descr="C:\Users\Janaina P. Andrade\Desktop\Fotos Witmarsum\sanitários.jpg"/>
                    <pic:cNvPicPr/>
                  </pic:nvPicPr>
                  <pic:blipFill>
                    <a:blip r:embed="rId19"/>
                    <a:stretch/>
                  </pic:blipFill>
                  <pic:spPr>
                    <a:xfrm>
                      <a:off x="0" y="0"/>
                      <a:ext cx="2086610" cy="1492250"/>
                    </a:xfrm>
                    <a:prstGeom prst="rect">
                      <a:avLst/>
                    </a:prstGeom>
                    <a:ln w="38100" cap="sq">
                      <a:solidFill>
                        <a:srgbClr val="000000"/>
                      </a:solidFill>
                      <a:miter/>
                    </a:ln>
                    <a:effectLst>
                      <a:outerShdw blurRad="50760" dist="37674" dir="2700000" algn="tl" rotWithShape="0">
                        <a:srgbClr val="000000">
                          <a:alpha val="43000"/>
                        </a:srgbClr>
                      </a:outerShdw>
                    </a:effectLst>
                  </pic:spPr>
                </pic:pic>
              </a:graphicData>
            </a:graphic>
          </wp:anchor>
        </w:drawing>
      </w:r>
    </w:p>
    <w:p w:rsidR="00CC4D4A" w:rsidRDefault="00CC4D4A" w:rsidP="00F64385">
      <w:pPr>
        <w:suppressAutoHyphens/>
        <w:spacing w:after="0" w:line="240" w:lineRule="auto"/>
        <w:jc w:val="center"/>
        <w:rPr>
          <w:rFonts w:ascii="Times New Roman" w:hAnsi="Times New Roman" w:cs="Times New Roman"/>
          <w:sz w:val="20"/>
          <w:szCs w:val="20"/>
        </w:rPr>
      </w:pPr>
    </w:p>
    <w:p w:rsidR="00F64385" w:rsidRPr="00F64385" w:rsidRDefault="00F64385" w:rsidP="00F64385">
      <w:pPr>
        <w:suppressAutoHyphens/>
        <w:spacing w:after="0" w:line="240" w:lineRule="auto"/>
        <w:jc w:val="center"/>
        <w:rPr>
          <w:rFonts w:ascii="Times New Roman" w:hAnsi="Times New Roman" w:cs="Times New Roman"/>
          <w:sz w:val="24"/>
          <w:szCs w:val="24"/>
        </w:rPr>
      </w:pPr>
      <w:r w:rsidRPr="00F64385">
        <w:rPr>
          <w:rFonts w:ascii="Times New Roman" w:hAnsi="Times New Roman" w:cs="Times New Roman"/>
          <w:sz w:val="20"/>
          <w:szCs w:val="20"/>
        </w:rPr>
        <w:t>Fonte: Dados coletados pela autora (2022).</w:t>
      </w:r>
    </w:p>
    <w:p w:rsidR="00F64385" w:rsidRPr="00F64385" w:rsidRDefault="00F64385" w:rsidP="00F64385">
      <w:pPr>
        <w:suppressAutoHyphens/>
        <w:spacing w:after="0" w:line="240" w:lineRule="auto"/>
        <w:ind w:firstLine="708"/>
        <w:jc w:val="center"/>
        <w:rPr>
          <w:rFonts w:ascii="Times New Roman" w:hAnsi="Times New Roman" w:cs="Times New Roman"/>
          <w:sz w:val="24"/>
          <w:szCs w:val="24"/>
        </w:rPr>
      </w:pPr>
    </w:p>
    <w:p w:rsidR="00F64385" w:rsidRPr="00F64385" w:rsidRDefault="00F64385" w:rsidP="00F64385">
      <w:pPr>
        <w:suppressAutoHyphens/>
        <w:spacing w:after="0" w:line="240" w:lineRule="auto"/>
        <w:rPr>
          <w:rFonts w:ascii="Times New Roman" w:hAnsi="Times New Roman" w:cs="Times New Roman"/>
          <w:sz w:val="24"/>
          <w:szCs w:val="24"/>
        </w:rPr>
      </w:pPr>
      <w:r w:rsidRPr="00F64385">
        <w:rPr>
          <w:rFonts w:ascii="Times New Roman" w:hAnsi="Times New Roman" w:cs="Times New Roman"/>
          <w:sz w:val="24"/>
          <w:szCs w:val="24"/>
        </w:rPr>
        <w:tab/>
      </w:r>
    </w:p>
    <w:p w:rsidR="00F64385" w:rsidRPr="00F64385" w:rsidRDefault="00F64385" w:rsidP="00F64385">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 O termo </w:t>
      </w:r>
      <w:r w:rsidRPr="00F64385">
        <w:rPr>
          <w:rFonts w:ascii="Times New Roman" w:hAnsi="Times New Roman" w:cs="Times New Roman"/>
          <w:i/>
          <w:sz w:val="24"/>
          <w:szCs w:val="24"/>
        </w:rPr>
        <w:t xml:space="preserve">Geb. Neufeld, </w:t>
      </w:r>
      <w:r w:rsidRPr="00F64385">
        <w:rPr>
          <w:rFonts w:ascii="Times New Roman" w:hAnsi="Times New Roman" w:cs="Times New Roman"/>
          <w:sz w:val="24"/>
          <w:szCs w:val="24"/>
        </w:rPr>
        <w:t>representado na figura 9 aparece em muitas lápides de mulheres, e faz menção ao sobrenome de nascimento, pois após casada a mulher recebe o do esposo. As</w:t>
      </w:r>
      <w:r w:rsidR="008B26C0">
        <w:rPr>
          <w:rFonts w:ascii="Times New Roman" w:hAnsi="Times New Roman" w:cs="Times New Roman"/>
          <w:sz w:val="24"/>
          <w:szCs w:val="24"/>
        </w:rPr>
        <w:t xml:space="preserve">sim sendo, quer dizer “nascida </w:t>
      </w:r>
      <w:r w:rsidRPr="00F64385">
        <w:rPr>
          <w:rFonts w:ascii="Times New Roman" w:hAnsi="Times New Roman" w:cs="Times New Roman"/>
          <w:sz w:val="24"/>
          <w:szCs w:val="24"/>
        </w:rPr>
        <w:t>Neufeld”, isto é, o sobrenome de nascimento. E o excerto bíblico “</w:t>
      </w:r>
      <w:r w:rsidRPr="00F64385">
        <w:rPr>
          <w:rFonts w:ascii="Times New Roman" w:hAnsi="Times New Roman" w:cs="Times New Roman"/>
          <w:i/>
          <w:sz w:val="24"/>
          <w:szCs w:val="24"/>
        </w:rPr>
        <w:t>Seine Gnade war mein Trost</w:t>
      </w:r>
      <w:r w:rsidRPr="00F64385">
        <w:rPr>
          <w:rFonts w:ascii="Times New Roman" w:hAnsi="Times New Roman" w:cs="Times New Roman"/>
          <w:sz w:val="24"/>
          <w:szCs w:val="24"/>
        </w:rPr>
        <w:t xml:space="preserve">”, que quer dizer: “Sua graça foi o meu consolo”. A figura 10 é uma placa decorativa encontrada na loja de artesanatos importados </w:t>
      </w:r>
      <w:r w:rsidRPr="00F64385">
        <w:rPr>
          <w:rFonts w:ascii="Times New Roman" w:hAnsi="Times New Roman" w:cs="Times New Roman"/>
          <w:i/>
          <w:sz w:val="24"/>
          <w:szCs w:val="24"/>
        </w:rPr>
        <w:t xml:space="preserve">Toll, </w:t>
      </w:r>
      <w:r w:rsidRPr="00F64385">
        <w:rPr>
          <w:rFonts w:ascii="Times New Roman" w:hAnsi="Times New Roman" w:cs="Times New Roman"/>
          <w:sz w:val="24"/>
          <w:szCs w:val="24"/>
        </w:rPr>
        <w:t xml:space="preserve">a qual desempenha a função simbólica, pois a mensagem representada não atribui nenhuma função informativa que oriente o visitante, turista ou cliente. </w:t>
      </w:r>
      <w:r w:rsidRPr="00F64385">
        <w:rPr>
          <w:rFonts w:ascii="Times New Roman" w:hAnsi="Times New Roman" w:cs="Times New Roman"/>
          <w:i/>
          <w:sz w:val="24"/>
          <w:szCs w:val="24"/>
        </w:rPr>
        <w:t>Wetterstation</w:t>
      </w:r>
      <w:r w:rsidRPr="00F64385">
        <w:rPr>
          <w:rFonts w:ascii="Times New Roman" w:hAnsi="Times New Roman" w:cs="Times New Roman"/>
          <w:sz w:val="24"/>
          <w:szCs w:val="24"/>
        </w:rPr>
        <w:t xml:space="preserve"> significa Estação Meteorológica e as demais inscrições dizem respeito às mudanças climáticas conforme o movimento que a pedra realiza. </w:t>
      </w:r>
    </w:p>
    <w:p w:rsidR="008B26C0" w:rsidRDefault="00F64385" w:rsidP="00F64385">
      <w:pPr>
        <w:tabs>
          <w:tab w:val="left" w:pos="851"/>
        </w:tabs>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A figura 11 foi encontrada na festa em Comemoração aos 70 anos da Colônia Witmarsum, e apesar de o português estar escrito por primeiro, o Hochdeutsch aparece destacado com a cor vermelha, coloc</w:t>
      </w:r>
      <w:r w:rsidR="008B26C0">
        <w:rPr>
          <w:rFonts w:ascii="Times New Roman" w:hAnsi="Times New Roman" w:cs="Times New Roman"/>
          <w:sz w:val="24"/>
          <w:szCs w:val="24"/>
        </w:rPr>
        <w:t>ando em evidência e relevância à</w:t>
      </w:r>
      <w:r w:rsidRPr="00F64385">
        <w:rPr>
          <w:rFonts w:ascii="Times New Roman" w:hAnsi="Times New Roman" w:cs="Times New Roman"/>
          <w:sz w:val="24"/>
          <w:szCs w:val="24"/>
        </w:rPr>
        <w:t xml:space="preserve"> língua de imigração. </w:t>
      </w:r>
    </w:p>
    <w:p w:rsidR="00F64385" w:rsidRPr="00F64385" w:rsidRDefault="00F64385" w:rsidP="008B26C0">
      <w:pPr>
        <w:tabs>
          <w:tab w:val="left" w:pos="851"/>
        </w:tabs>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E, a figura 12 está localizada dentro pátio do estabelecimento </w:t>
      </w:r>
      <w:r w:rsidRPr="00F64385">
        <w:rPr>
          <w:rFonts w:ascii="Times New Roman" w:hAnsi="Times New Roman" w:cs="Times New Roman"/>
          <w:i/>
          <w:sz w:val="24"/>
          <w:szCs w:val="24"/>
        </w:rPr>
        <w:t xml:space="preserve">Frutillas Löwen, </w:t>
      </w:r>
      <w:r w:rsidRPr="00F64385">
        <w:rPr>
          <w:rFonts w:ascii="Times New Roman" w:hAnsi="Times New Roman" w:cs="Times New Roman"/>
          <w:sz w:val="24"/>
          <w:szCs w:val="24"/>
        </w:rPr>
        <w:t xml:space="preserve">o qual disponibiliza no mesmo empreendimento o restaurante, por isso a mensagem: </w:t>
      </w:r>
      <w:r w:rsidRPr="00F64385">
        <w:rPr>
          <w:rFonts w:ascii="Times New Roman" w:hAnsi="Times New Roman" w:cs="Times New Roman"/>
          <w:i/>
          <w:sz w:val="24"/>
          <w:szCs w:val="24"/>
        </w:rPr>
        <w:t>Wir essen</w:t>
      </w:r>
      <w:r w:rsidRPr="00F64385">
        <w:rPr>
          <w:rFonts w:ascii="Times New Roman" w:hAnsi="Times New Roman" w:cs="Times New Roman"/>
          <w:sz w:val="24"/>
          <w:szCs w:val="24"/>
        </w:rPr>
        <w:t xml:space="preserve"> (Nós comemos); o cultivo de frutas vermelhas – </w:t>
      </w:r>
      <w:r w:rsidRPr="00F64385">
        <w:rPr>
          <w:rFonts w:ascii="Times New Roman" w:hAnsi="Times New Roman" w:cs="Times New Roman"/>
          <w:i/>
          <w:sz w:val="24"/>
          <w:szCs w:val="24"/>
        </w:rPr>
        <w:t>Wir trinken Saft</w:t>
      </w:r>
      <w:r w:rsidRPr="00F64385">
        <w:rPr>
          <w:rFonts w:ascii="Times New Roman" w:hAnsi="Times New Roman" w:cs="Times New Roman"/>
          <w:sz w:val="24"/>
          <w:szCs w:val="24"/>
        </w:rPr>
        <w:t xml:space="preserve"> (Nós tomamos suco); o turismo rural – </w:t>
      </w:r>
      <w:r w:rsidRPr="00F64385">
        <w:rPr>
          <w:rFonts w:ascii="Times New Roman" w:hAnsi="Times New Roman" w:cs="Times New Roman"/>
          <w:i/>
          <w:sz w:val="24"/>
          <w:szCs w:val="24"/>
        </w:rPr>
        <w:t>Wir gehen zpazieren</w:t>
      </w:r>
      <w:r w:rsidRPr="00F64385">
        <w:rPr>
          <w:rFonts w:ascii="Times New Roman" w:hAnsi="Times New Roman" w:cs="Times New Roman"/>
          <w:sz w:val="24"/>
          <w:szCs w:val="24"/>
        </w:rPr>
        <w:t xml:space="preserve"> (Nós passeamos); a pousada – </w:t>
      </w:r>
      <w:r w:rsidRPr="00F64385">
        <w:rPr>
          <w:rFonts w:ascii="Times New Roman" w:hAnsi="Times New Roman" w:cs="Times New Roman"/>
          <w:i/>
          <w:sz w:val="24"/>
          <w:szCs w:val="24"/>
        </w:rPr>
        <w:t xml:space="preserve">Wir schlafen </w:t>
      </w:r>
      <w:r w:rsidRPr="00F64385">
        <w:rPr>
          <w:rFonts w:ascii="Times New Roman" w:hAnsi="Times New Roman" w:cs="Times New Roman"/>
          <w:sz w:val="24"/>
          <w:szCs w:val="24"/>
        </w:rPr>
        <w:t>(Nós dormimos).</w:t>
      </w:r>
      <w:r w:rsidR="008B26C0">
        <w:rPr>
          <w:rFonts w:ascii="Times New Roman" w:hAnsi="Times New Roman" w:cs="Times New Roman"/>
          <w:sz w:val="24"/>
          <w:szCs w:val="24"/>
        </w:rPr>
        <w:t xml:space="preserve"> </w:t>
      </w:r>
      <w:r w:rsidRPr="00F64385">
        <w:rPr>
          <w:rFonts w:ascii="Times New Roman" w:hAnsi="Times New Roman" w:cs="Times New Roman"/>
          <w:sz w:val="24"/>
          <w:szCs w:val="24"/>
        </w:rPr>
        <w:t xml:space="preserve">Segundo Reh (2004) quando os sinais bilíngues ou multilíngues apresentam a duplicação (tradução de todo o conteúdo), </w:t>
      </w:r>
      <w:r w:rsidR="008B26C0">
        <w:rPr>
          <w:rFonts w:ascii="Times New Roman" w:hAnsi="Times New Roman" w:cs="Times New Roman"/>
          <w:sz w:val="24"/>
          <w:szCs w:val="24"/>
        </w:rPr>
        <w:t xml:space="preserve">como é o caso do exposto nessa imagem, </w:t>
      </w:r>
      <w:r w:rsidRPr="00F64385">
        <w:rPr>
          <w:rFonts w:ascii="Times New Roman" w:hAnsi="Times New Roman" w:cs="Times New Roman"/>
          <w:sz w:val="24"/>
          <w:szCs w:val="24"/>
        </w:rPr>
        <w:t>a mensagem pode ser compreendida por todos os leitores. Dessa forma, entendemos que os atores desses sinais se preocuparam com a comunicação, assim, articularam ambas as línguas.</w:t>
      </w:r>
    </w:p>
    <w:p w:rsidR="00F64385" w:rsidRPr="00F64385" w:rsidRDefault="009871BA" w:rsidP="00F64385">
      <w:pPr>
        <w:suppressAutoHyphens/>
        <w:spacing w:after="0" w:line="240" w:lineRule="auto"/>
        <w:rPr>
          <w:rFonts w:ascii="Times New Roman" w:hAnsi="Times New Roman" w:cs="Times New Roman"/>
          <w:sz w:val="24"/>
          <w:szCs w:val="24"/>
        </w:rPr>
      </w:pPr>
      <w:r>
        <w:rPr>
          <w:rFonts w:ascii="Times New Roman" w:hAnsi="Times New Roman" w:cs="Times New Roman"/>
          <w:b/>
          <w:sz w:val="24"/>
          <w:szCs w:val="24"/>
        </w:rPr>
        <w:tab/>
      </w:r>
    </w:p>
    <w:p w:rsidR="00F64385" w:rsidRPr="00F64385" w:rsidRDefault="00F64385" w:rsidP="00F64385">
      <w:pPr>
        <w:suppressAutoHyphens/>
        <w:spacing w:after="0" w:line="240" w:lineRule="auto"/>
        <w:rPr>
          <w:rFonts w:ascii="Times New Roman" w:hAnsi="Times New Roman" w:cs="Times New Roman"/>
          <w:b/>
          <w:sz w:val="24"/>
          <w:szCs w:val="24"/>
        </w:rPr>
      </w:pPr>
    </w:p>
    <w:p w:rsidR="00F64385" w:rsidRPr="00F64385" w:rsidRDefault="00F64385" w:rsidP="00F64385">
      <w:pPr>
        <w:suppressAutoHyphens/>
        <w:spacing w:after="0" w:line="240" w:lineRule="auto"/>
        <w:contextualSpacing/>
        <w:rPr>
          <w:rFonts w:ascii="Times New Roman" w:hAnsi="Times New Roman" w:cs="Times New Roman"/>
          <w:b/>
          <w:sz w:val="24"/>
          <w:szCs w:val="24"/>
        </w:rPr>
      </w:pPr>
      <w:r w:rsidRPr="00F64385">
        <w:rPr>
          <w:rFonts w:ascii="Times New Roman" w:hAnsi="Times New Roman" w:cs="Times New Roman"/>
          <w:b/>
          <w:sz w:val="24"/>
          <w:szCs w:val="24"/>
        </w:rPr>
        <w:t>Considerações finais</w:t>
      </w:r>
    </w:p>
    <w:p w:rsidR="00B54922" w:rsidRDefault="009871BA" w:rsidP="00F64385">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 partir do </w:t>
      </w:r>
      <w:r w:rsidRPr="00335F6F">
        <w:rPr>
          <w:rFonts w:ascii="Times New Roman" w:hAnsi="Times New Roman" w:cs="Times New Roman"/>
          <w:i/>
          <w:sz w:val="24"/>
          <w:szCs w:val="24"/>
        </w:rPr>
        <w:t>corpus</w:t>
      </w:r>
      <w:r>
        <w:rPr>
          <w:rFonts w:ascii="Times New Roman" w:hAnsi="Times New Roman" w:cs="Times New Roman"/>
          <w:sz w:val="24"/>
          <w:szCs w:val="24"/>
        </w:rPr>
        <w:t xml:space="preserve"> levantado no campo de pesquisa percebemos maior visibilidade ao Hochdeutsch (alemão padrão), ao passo que a língua dos menonitas, o Plautdietsch (baixo alemão) é representado poucas vezes na paisagem lin</w:t>
      </w:r>
      <w:r w:rsidR="00CF1242">
        <w:rPr>
          <w:rFonts w:ascii="Times New Roman" w:hAnsi="Times New Roman" w:cs="Times New Roman"/>
          <w:sz w:val="24"/>
          <w:szCs w:val="24"/>
        </w:rPr>
        <w:t>guística da colônia. Atribuímos isso</w:t>
      </w:r>
      <w:r w:rsidR="00B54922">
        <w:rPr>
          <w:rFonts w:ascii="Times New Roman" w:hAnsi="Times New Roman" w:cs="Times New Roman"/>
          <w:sz w:val="24"/>
          <w:szCs w:val="24"/>
        </w:rPr>
        <w:t xml:space="preserve"> à influência de prestígio social que o uso do alemão </w:t>
      </w:r>
      <w:r w:rsidR="00B54922" w:rsidRPr="00B54922">
        <w:rPr>
          <w:rFonts w:ascii="Times New Roman" w:hAnsi="Times New Roman" w:cs="Times New Roman"/>
          <w:i/>
          <w:sz w:val="24"/>
          <w:szCs w:val="24"/>
        </w:rPr>
        <w:t>standart</w:t>
      </w:r>
      <w:r w:rsidR="00B54922">
        <w:rPr>
          <w:rFonts w:ascii="Times New Roman" w:hAnsi="Times New Roman" w:cs="Times New Roman"/>
          <w:sz w:val="24"/>
          <w:szCs w:val="24"/>
        </w:rPr>
        <w:t xml:space="preserve"> desempenha tanto no colégio, como na igreja. Em ambos os espaços as práticas linguísticas de interação e comunicação são em Hochdeutsch, sendo que</w:t>
      </w:r>
      <w:r w:rsidR="00335F6F">
        <w:rPr>
          <w:rFonts w:ascii="Times New Roman" w:hAnsi="Times New Roman" w:cs="Times New Roman"/>
          <w:sz w:val="24"/>
          <w:szCs w:val="24"/>
        </w:rPr>
        <w:t>,</w:t>
      </w:r>
      <w:r w:rsidR="00B54922">
        <w:rPr>
          <w:rFonts w:ascii="Times New Roman" w:hAnsi="Times New Roman" w:cs="Times New Roman"/>
          <w:sz w:val="24"/>
          <w:szCs w:val="24"/>
        </w:rPr>
        <w:t xml:space="preserve"> o Plautdietsch é usado no âmbito familiar e em conversas informais.</w:t>
      </w:r>
      <w:r w:rsidR="003822FD">
        <w:rPr>
          <w:rFonts w:ascii="Times New Roman" w:hAnsi="Times New Roman" w:cs="Times New Roman"/>
          <w:sz w:val="24"/>
          <w:szCs w:val="24"/>
        </w:rPr>
        <w:t xml:space="preserve"> </w:t>
      </w:r>
    </w:p>
    <w:p w:rsidR="0067633B" w:rsidRDefault="00335F6F" w:rsidP="00F64385">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Ressaltamos a relevância da paisagem linguística na manutenção das línguas de imigração, visto que as marcações </w:t>
      </w:r>
      <w:r w:rsidR="0067633B">
        <w:rPr>
          <w:rFonts w:ascii="Times New Roman" w:hAnsi="Times New Roman" w:cs="Times New Roman"/>
          <w:sz w:val="24"/>
          <w:szCs w:val="24"/>
        </w:rPr>
        <w:t xml:space="preserve">linguísticas representadas nos espaços públicos estão </w:t>
      </w:r>
      <w:r w:rsidR="00721F87">
        <w:rPr>
          <w:rFonts w:ascii="Times New Roman" w:hAnsi="Times New Roman" w:cs="Times New Roman"/>
          <w:sz w:val="24"/>
          <w:szCs w:val="24"/>
        </w:rPr>
        <w:t xml:space="preserve">não só à disposição dos </w:t>
      </w:r>
      <w:r w:rsidR="0067633B">
        <w:rPr>
          <w:rFonts w:ascii="Times New Roman" w:hAnsi="Times New Roman" w:cs="Times New Roman"/>
          <w:sz w:val="24"/>
          <w:szCs w:val="24"/>
        </w:rPr>
        <w:t>t</w:t>
      </w:r>
      <w:r w:rsidR="00721F87">
        <w:rPr>
          <w:rFonts w:ascii="Times New Roman" w:hAnsi="Times New Roman" w:cs="Times New Roman"/>
          <w:sz w:val="24"/>
          <w:szCs w:val="24"/>
        </w:rPr>
        <w:t xml:space="preserve">ranseuntes, mas compõem o cenário local. </w:t>
      </w:r>
      <w:r w:rsidR="00F64385" w:rsidRPr="00F64385">
        <w:rPr>
          <w:rFonts w:ascii="Times New Roman" w:hAnsi="Times New Roman" w:cs="Times New Roman"/>
          <w:sz w:val="24"/>
          <w:szCs w:val="24"/>
        </w:rPr>
        <w:t>Mais que informação, a língua constitui-se como marcador simbó</w:t>
      </w:r>
      <w:r w:rsidR="00CF1242">
        <w:rPr>
          <w:rFonts w:ascii="Times New Roman" w:hAnsi="Times New Roman" w:cs="Times New Roman"/>
          <w:sz w:val="24"/>
          <w:szCs w:val="24"/>
        </w:rPr>
        <w:t xml:space="preserve">lico de resistência </w:t>
      </w:r>
      <w:r w:rsidR="00FF38C7">
        <w:rPr>
          <w:rFonts w:ascii="Times New Roman" w:hAnsi="Times New Roman" w:cs="Times New Roman"/>
          <w:sz w:val="24"/>
          <w:szCs w:val="24"/>
        </w:rPr>
        <w:t>que contrasta com o imaginário do</w:t>
      </w:r>
      <w:r w:rsidR="00F64385" w:rsidRPr="00F64385">
        <w:rPr>
          <w:rFonts w:ascii="Times New Roman" w:hAnsi="Times New Roman" w:cs="Times New Roman"/>
          <w:sz w:val="24"/>
          <w:szCs w:val="24"/>
        </w:rPr>
        <w:t xml:space="preserve"> monolinguismo existente em nosso país. </w:t>
      </w:r>
    </w:p>
    <w:p w:rsidR="00F64385" w:rsidRDefault="00F64385" w:rsidP="0067633B">
      <w:pPr>
        <w:suppressAutoHyphens/>
        <w:spacing w:after="0" w:line="240" w:lineRule="auto"/>
        <w:ind w:firstLine="708"/>
        <w:jc w:val="both"/>
        <w:rPr>
          <w:rFonts w:ascii="Times New Roman" w:hAnsi="Times New Roman" w:cs="Times New Roman"/>
          <w:sz w:val="24"/>
          <w:szCs w:val="24"/>
        </w:rPr>
      </w:pPr>
      <w:r w:rsidRPr="00F64385">
        <w:rPr>
          <w:rFonts w:ascii="Times New Roman" w:hAnsi="Times New Roman" w:cs="Times New Roman"/>
          <w:sz w:val="24"/>
          <w:szCs w:val="24"/>
        </w:rPr>
        <w:t xml:space="preserve">A materialidade da língua escrita nos sinais espalhados pela colônia proporciona a visibilidade e a vitalidade </w:t>
      </w:r>
      <w:r w:rsidR="00FF38C7">
        <w:rPr>
          <w:rFonts w:ascii="Times New Roman" w:hAnsi="Times New Roman" w:cs="Times New Roman"/>
          <w:sz w:val="24"/>
          <w:szCs w:val="24"/>
        </w:rPr>
        <w:t>das línguas</w:t>
      </w:r>
      <w:r w:rsidRPr="00F64385">
        <w:rPr>
          <w:rFonts w:ascii="Times New Roman" w:hAnsi="Times New Roman" w:cs="Times New Roman"/>
          <w:sz w:val="24"/>
          <w:szCs w:val="24"/>
        </w:rPr>
        <w:t>, os quais carregam fortemente uma história de trabalho e de entrelaçamento de culturas. Após 70 anos, os menonitas ainda lutam pela conservação da herança linguística e, com isso, compreendemos que a paisagem linguística é um não só um indicador de preservação das línguas e culturais locais, mas também</w:t>
      </w:r>
      <w:r w:rsidR="0067633B">
        <w:rPr>
          <w:rFonts w:ascii="Times New Roman" w:hAnsi="Times New Roman" w:cs="Times New Roman"/>
          <w:sz w:val="24"/>
          <w:szCs w:val="24"/>
        </w:rPr>
        <w:t xml:space="preserve"> uma ação político-linguística, uma prática que indexa o comportamento sociolinguístico dos sujeitos que ali habitam. </w:t>
      </w:r>
    </w:p>
    <w:p w:rsidR="00FF38C7" w:rsidRDefault="0067633B" w:rsidP="0067633B">
      <w:pPr>
        <w:suppressAutoHyphen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Vale pontuar que o contexto multilíngue corrobora para essa ação político-linguística, pois temos a presença do português, do Plautdietsch e do Hochdeutsch na paisagem linguística</w:t>
      </w:r>
      <w:r w:rsidR="00FF38C7">
        <w:rPr>
          <w:rFonts w:ascii="Times New Roman" w:hAnsi="Times New Roman" w:cs="Times New Roman"/>
          <w:sz w:val="24"/>
          <w:szCs w:val="24"/>
        </w:rPr>
        <w:t xml:space="preserve">, ainda que </w:t>
      </w:r>
      <w:r>
        <w:rPr>
          <w:rFonts w:ascii="Times New Roman" w:hAnsi="Times New Roman" w:cs="Times New Roman"/>
          <w:sz w:val="24"/>
          <w:szCs w:val="24"/>
        </w:rPr>
        <w:t xml:space="preserve">haja a assimetria na articulação </w:t>
      </w:r>
      <w:r w:rsidR="008C794A">
        <w:rPr>
          <w:rFonts w:ascii="Times New Roman" w:hAnsi="Times New Roman" w:cs="Times New Roman"/>
          <w:sz w:val="24"/>
          <w:szCs w:val="24"/>
        </w:rPr>
        <w:t>desse</w:t>
      </w:r>
      <w:r>
        <w:rPr>
          <w:rFonts w:ascii="Times New Roman" w:hAnsi="Times New Roman" w:cs="Times New Roman"/>
          <w:sz w:val="24"/>
          <w:szCs w:val="24"/>
        </w:rPr>
        <w:t>s uso</w:t>
      </w:r>
      <w:r w:rsidR="00CF1242">
        <w:rPr>
          <w:rFonts w:ascii="Times New Roman" w:hAnsi="Times New Roman" w:cs="Times New Roman"/>
          <w:sz w:val="24"/>
          <w:szCs w:val="24"/>
        </w:rPr>
        <w:t>s</w:t>
      </w:r>
      <w:r w:rsidR="00FF38C7">
        <w:rPr>
          <w:rFonts w:ascii="Times New Roman" w:hAnsi="Times New Roman" w:cs="Times New Roman"/>
          <w:sz w:val="24"/>
          <w:szCs w:val="24"/>
        </w:rPr>
        <w:t xml:space="preserve">. </w:t>
      </w:r>
    </w:p>
    <w:p w:rsidR="00E277BA" w:rsidRDefault="00FF38C7" w:rsidP="0067633B">
      <w:pPr>
        <w:suppressAutoHyphen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Nesse sentido, concluímos </w:t>
      </w:r>
      <w:r w:rsidR="00BF78D7">
        <w:rPr>
          <w:rFonts w:ascii="Times New Roman" w:hAnsi="Times New Roman" w:cs="Times New Roman"/>
          <w:sz w:val="24"/>
          <w:szCs w:val="24"/>
        </w:rPr>
        <w:t>que as escolhas linguísticas na paisagem da Colônia Witmarsum dão mais ênfas</w:t>
      </w:r>
      <w:r>
        <w:rPr>
          <w:rFonts w:ascii="Times New Roman" w:hAnsi="Times New Roman" w:cs="Times New Roman"/>
          <w:sz w:val="24"/>
          <w:szCs w:val="24"/>
        </w:rPr>
        <w:t>e ao Hochdeutsch e ao português, por conta da sua vinculação à língua padrão. Ainda assim, e</w:t>
      </w:r>
      <w:r w:rsidR="00BF78D7">
        <w:rPr>
          <w:rFonts w:ascii="Times New Roman" w:hAnsi="Times New Roman" w:cs="Times New Roman"/>
          <w:sz w:val="24"/>
          <w:szCs w:val="24"/>
        </w:rPr>
        <w:t>ssa</w:t>
      </w:r>
      <w:r w:rsidR="00E277BA">
        <w:rPr>
          <w:rFonts w:ascii="Times New Roman" w:hAnsi="Times New Roman" w:cs="Times New Roman"/>
          <w:sz w:val="24"/>
          <w:szCs w:val="24"/>
        </w:rPr>
        <w:t>s práticas sociais constituem uma atit</w:t>
      </w:r>
      <w:r>
        <w:rPr>
          <w:rFonts w:ascii="Times New Roman" w:hAnsi="Times New Roman" w:cs="Times New Roman"/>
          <w:sz w:val="24"/>
          <w:szCs w:val="24"/>
        </w:rPr>
        <w:t>ude política, pois a presença dessas</w:t>
      </w:r>
      <w:r w:rsidR="00E277BA">
        <w:rPr>
          <w:rFonts w:ascii="Times New Roman" w:hAnsi="Times New Roman" w:cs="Times New Roman"/>
          <w:sz w:val="24"/>
          <w:szCs w:val="24"/>
        </w:rPr>
        <w:t xml:space="preserve"> língua</w:t>
      </w:r>
      <w:r>
        <w:rPr>
          <w:rFonts w:ascii="Times New Roman" w:hAnsi="Times New Roman" w:cs="Times New Roman"/>
          <w:sz w:val="24"/>
          <w:szCs w:val="24"/>
        </w:rPr>
        <w:t>s</w:t>
      </w:r>
      <w:r w:rsidR="00E277BA">
        <w:rPr>
          <w:rFonts w:ascii="Times New Roman" w:hAnsi="Times New Roman" w:cs="Times New Roman"/>
          <w:sz w:val="24"/>
          <w:szCs w:val="24"/>
        </w:rPr>
        <w:t xml:space="preserve"> na</w:t>
      </w:r>
      <w:r>
        <w:rPr>
          <w:rFonts w:ascii="Times New Roman" w:hAnsi="Times New Roman" w:cs="Times New Roman"/>
          <w:sz w:val="24"/>
          <w:szCs w:val="24"/>
        </w:rPr>
        <w:t xml:space="preserve"> paisagem linguística revelam sua</w:t>
      </w:r>
      <w:r w:rsidR="00E277BA">
        <w:rPr>
          <w:rFonts w:ascii="Times New Roman" w:hAnsi="Times New Roman" w:cs="Times New Roman"/>
          <w:sz w:val="24"/>
          <w:szCs w:val="24"/>
        </w:rPr>
        <w:t xml:space="preserve"> visibilidade/vitalidade, </w:t>
      </w:r>
      <w:r>
        <w:rPr>
          <w:rFonts w:ascii="Times New Roman" w:hAnsi="Times New Roman" w:cs="Times New Roman"/>
          <w:sz w:val="24"/>
          <w:szCs w:val="24"/>
        </w:rPr>
        <w:t xml:space="preserve">enquanto que sua </w:t>
      </w:r>
      <w:r w:rsidR="00E277BA">
        <w:rPr>
          <w:rFonts w:ascii="Times New Roman" w:hAnsi="Times New Roman" w:cs="Times New Roman"/>
          <w:sz w:val="24"/>
          <w:szCs w:val="24"/>
        </w:rPr>
        <w:t>ausência contri</w:t>
      </w:r>
      <w:r>
        <w:rPr>
          <w:rFonts w:ascii="Times New Roman" w:hAnsi="Times New Roman" w:cs="Times New Roman"/>
          <w:sz w:val="24"/>
          <w:szCs w:val="24"/>
        </w:rPr>
        <w:t xml:space="preserve">bui ao apagamento/silenciamento das línguas na comunidade. </w:t>
      </w:r>
    </w:p>
    <w:p w:rsidR="00EF7D12" w:rsidRDefault="00EF7D12" w:rsidP="00F64385">
      <w:pPr>
        <w:suppressAutoHyphens/>
        <w:spacing w:after="0" w:line="240" w:lineRule="auto"/>
        <w:jc w:val="both"/>
        <w:rPr>
          <w:rFonts w:ascii="Times New Roman" w:hAnsi="Times New Roman" w:cs="Times New Roman"/>
          <w:sz w:val="24"/>
          <w:szCs w:val="24"/>
        </w:rPr>
      </w:pPr>
    </w:p>
    <w:p w:rsidR="00E277BA" w:rsidRPr="00F64385" w:rsidRDefault="00E277BA" w:rsidP="00F64385">
      <w:pPr>
        <w:suppressAutoHyphens/>
        <w:spacing w:after="0" w:line="240" w:lineRule="auto"/>
        <w:jc w:val="both"/>
        <w:rPr>
          <w:rFonts w:ascii="Times New Roman" w:hAnsi="Times New Roman" w:cs="Times New Roman"/>
          <w:sz w:val="24"/>
          <w:szCs w:val="24"/>
        </w:rPr>
      </w:pPr>
    </w:p>
    <w:p w:rsidR="00F64385" w:rsidRPr="00F64385" w:rsidRDefault="00F64385" w:rsidP="00E8028C">
      <w:pPr>
        <w:suppressAutoHyphens/>
        <w:spacing w:after="0" w:line="240" w:lineRule="auto"/>
        <w:jc w:val="both"/>
        <w:rPr>
          <w:rFonts w:ascii="Times New Roman" w:hAnsi="Times New Roman" w:cs="Times New Roman"/>
          <w:b/>
          <w:sz w:val="24"/>
          <w:szCs w:val="24"/>
        </w:rPr>
      </w:pPr>
      <w:r w:rsidRPr="00F64385">
        <w:rPr>
          <w:rFonts w:ascii="Times New Roman" w:hAnsi="Times New Roman" w:cs="Times New Roman"/>
          <w:b/>
          <w:sz w:val="24"/>
          <w:szCs w:val="24"/>
        </w:rPr>
        <w:t>Referências</w:t>
      </w:r>
    </w:p>
    <w:p w:rsidR="00E8028C" w:rsidRPr="00E8028C" w:rsidRDefault="00F64385" w:rsidP="00E8028C">
      <w:pPr>
        <w:suppressAutoHyphens/>
        <w:spacing w:line="240" w:lineRule="auto"/>
        <w:jc w:val="both"/>
        <w:rPr>
          <w:rFonts w:ascii="Times New Roman" w:hAnsi="Times New Roman" w:cs="Times New Roman"/>
          <w:sz w:val="24"/>
          <w:szCs w:val="24"/>
          <w:shd w:val="clear" w:color="auto" w:fill="FFFFFF"/>
        </w:rPr>
      </w:pPr>
      <w:r w:rsidRPr="00F64385">
        <w:rPr>
          <w:rFonts w:ascii="Times New Roman" w:hAnsi="Times New Roman" w:cs="Times New Roman"/>
          <w:sz w:val="24"/>
          <w:szCs w:val="24"/>
          <w:shd w:val="clear" w:color="auto" w:fill="FFFFFF"/>
        </w:rPr>
        <w:t xml:space="preserve">BALHANA, A. P. et al. </w:t>
      </w:r>
      <w:r w:rsidRPr="00F64385">
        <w:rPr>
          <w:rFonts w:ascii="Times New Roman" w:hAnsi="Times New Roman" w:cs="Times New Roman"/>
          <w:i/>
          <w:sz w:val="24"/>
          <w:szCs w:val="24"/>
          <w:shd w:val="clear" w:color="auto" w:fill="FFFFFF"/>
        </w:rPr>
        <w:t>História do Paraná</w:t>
      </w:r>
      <w:r w:rsidRPr="00F64385">
        <w:rPr>
          <w:rFonts w:ascii="Times New Roman" w:hAnsi="Times New Roman" w:cs="Times New Roman"/>
          <w:sz w:val="24"/>
          <w:szCs w:val="24"/>
          <w:shd w:val="clear" w:color="auto" w:fill="FFFFFF"/>
        </w:rPr>
        <w:t>. Paraná: Grafipar, 1969.</w:t>
      </w:r>
      <w:bookmarkStart w:id="0" w:name="_GoBack"/>
      <w:bookmarkEnd w:id="0"/>
    </w:p>
    <w:p w:rsidR="00F64385" w:rsidRPr="00F64385" w:rsidRDefault="00F64385" w:rsidP="00E8028C">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F64385">
        <w:rPr>
          <w:rFonts w:ascii="Times New Roman" w:eastAsia="Times New Roman" w:hAnsi="Times New Roman" w:cs="Times New Roman"/>
          <w:sz w:val="24"/>
          <w:szCs w:val="24"/>
          <w:lang w:eastAsia="pt-BR"/>
        </w:rPr>
        <w:t xml:space="preserve">BERGER, I. R. </w:t>
      </w:r>
      <w:r w:rsidRPr="00F64385">
        <w:rPr>
          <w:rFonts w:ascii="Times New Roman" w:eastAsia="Times New Roman" w:hAnsi="Times New Roman" w:cs="Times New Roman"/>
          <w:i/>
          <w:sz w:val="24"/>
          <w:szCs w:val="24"/>
          <w:lang w:eastAsia="pt-BR"/>
        </w:rPr>
        <w:t>Gestão do multi/plurilinguismo em escolas brasileiras na fronteira Brasil-Paraguai:</w:t>
      </w:r>
      <w:r w:rsidRPr="00F64385">
        <w:rPr>
          <w:rFonts w:ascii="Times New Roman" w:eastAsia="Times New Roman" w:hAnsi="Times New Roman" w:cs="Times New Roman"/>
          <w:sz w:val="24"/>
          <w:szCs w:val="24"/>
          <w:lang w:eastAsia="pt-BR"/>
        </w:rPr>
        <w:t xml:space="preserve"> um olhar a partir do Observatório da Educação na Fronteira. 2015, 298p. Tese (Doutorado em Linguística) – Programa de Pós-graduação em Linguística, Universidade Federal de Santa Catarina, Florianópolis, Santa Catarina, 2015.</w:t>
      </w:r>
    </w:p>
    <w:p w:rsidR="00F64385" w:rsidRPr="00F64385" w:rsidRDefault="00F64385" w:rsidP="00E8028C">
      <w:pPr>
        <w:shd w:val="clear" w:color="auto" w:fill="FFFFFF"/>
        <w:suppressAutoHyphens/>
        <w:spacing w:after="0" w:line="240" w:lineRule="auto"/>
        <w:jc w:val="both"/>
        <w:rPr>
          <w:rFonts w:ascii="Times New Roman" w:eastAsia="Times New Roman" w:hAnsi="Times New Roman" w:cs="Times New Roman"/>
          <w:sz w:val="24"/>
          <w:szCs w:val="24"/>
          <w:lang w:eastAsia="pt-BR"/>
        </w:rPr>
      </w:pP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BERGER, I. R.; ELSENBACH, L. R. J. </w:t>
      </w:r>
      <w:r w:rsidRPr="00F64385">
        <w:rPr>
          <w:rFonts w:ascii="Times New Roman" w:hAnsi="Times New Roman" w:cs="Times New Roman"/>
          <w:i/>
          <w:sz w:val="24"/>
          <w:szCs w:val="24"/>
        </w:rPr>
        <w:t>Gestão do multilinguismo no espaço visual público em Foz do Iguaçu</w:t>
      </w:r>
      <w:r w:rsidRPr="00F64385">
        <w:rPr>
          <w:rFonts w:ascii="Times New Roman" w:hAnsi="Times New Roman" w:cs="Times New Roman"/>
          <w:sz w:val="24"/>
          <w:szCs w:val="24"/>
        </w:rPr>
        <w:t>: um estudo sobre a visibilidade da diversidade linguística. Entrepalavras, Fortaleza, v. 7, p. 433-456, ago./dez. 2017.</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BOGATTO, F; HÉLOT, C. Linguistic Landscape and Language Diversity in Strasbourg: The ‘Quartier Gare’. In: SHOHAMY, E. BEN-RAFAEL, E.; BARNI, M. (Ed.) </w:t>
      </w:r>
      <w:r w:rsidRPr="00F64385">
        <w:rPr>
          <w:rFonts w:ascii="Times New Roman" w:hAnsi="Times New Roman" w:cs="Times New Roman"/>
          <w:i/>
          <w:sz w:val="24"/>
          <w:szCs w:val="24"/>
        </w:rPr>
        <w:t>Linguistic landscape in the city</w:t>
      </w:r>
      <w:r w:rsidRPr="00F64385">
        <w:rPr>
          <w:rFonts w:ascii="Times New Roman" w:hAnsi="Times New Roman" w:cs="Times New Roman"/>
          <w:sz w:val="24"/>
          <w:szCs w:val="24"/>
        </w:rPr>
        <w:t>. Bristol: Multilingual Matters, 2010.</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CALVET, J. L. </w:t>
      </w:r>
      <w:r w:rsidRPr="00F64385">
        <w:rPr>
          <w:rFonts w:ascii="Times New Roman" w:hAnsi="Times New Roman" w:cs="Times New Roman"/>
          <w:i/>
          <w:sz w:val="24"/>
          <w:szCs w:val="24"/>
        </w:rPr>
        <w:t>As políticas linguísticas.</w:t>
      </w:r>
      <w:r w:rsidRPr="00F64385">
        <w:rPr>
          <w:rFonts w:ascii="Times New Roman" w:hAnsi="Times New Roman" w:cs="Times New Roman"/>
          <w:sz w:val="24"/>
          <w:szCs w:val="24"/>
        </w:rPr>
        <w:t xml:space="preserve"> São Paulo: Parábola Editorial: IPOL, 2007.</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DÜCK, E. S. </w:t>
      </w:r>
      <w:r w:rsidRPr="00F64385">
        <w:rPr>
          <w:rFonts w:ascii="Times New Roman" w:hAnsi="Times New Roman" w:cs="Times New Roman"/>
          <w:i/>
          <w:sz w:val="24"/>
          <w:szCs w:val="24"/>
        </w:rPr>
        <w:t>WITMARSUM, UMA COMUNIDADE TRILÍNGÜE: PLAUTDIETSCH, HOCHDEUTSCH E PORTUGUÊS.</w:t>
      </w:r>
      <w:r w:rsidRPr="00F64385">
        <w:rPr>
          <w:rFonts w:ascii="Times New Roman" w:hAnsi="Times New Roman" w:cs="Times New Roman"/>
          <w:sz w:val="24"/>
          <w:szCs w:val="24"/>
        </w:rPr>
        <w:t xml:space="preserve"> Dissertação (Mestrado) Universidade Federal do Paraná, Curitiba, 2005.</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GARVIN, R. T.  Responses to the Linguistic Landscape in Memphis, Tennessee: An Urban Space in Transition. In: SHOHAMY, E. BEN-RAFAEL, E.; BARNI, M. (Ed.) </w:t>
      </w:r>
      <w:r w:rsidRPr="00F64385">
        <w:rPr>
          <w:rFonts w:ascii="Times New Roman" w:hAnsi="Times New Roman" w:cs="Times New Roman"/>
          <w:i/>
          <w:sz w:val="24"/>
          <w:szCs w:val="24"/>
        </w:rPr>
        <w:t>Linguistic landscape in the city</w:t>
      </w:r>
      <w:r w:rsidRPr="00F64385">
        <w:rPr>
          <w:rFonts w:ascii="Times New Roman" w:hAnsi="Times New Roman" w:cs="Times New Roman"/>
          <w:sz w:val="24"/>
          <w:szCs w:val="24"/>
        </w:rPr>
        <w:t>. Bristol: Multilingual Matters, 2010.</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GORTER, D. </w:t>
      </w:r>
      <w:r w:rsidRPr="00F64385">
        <w:rPr>
          <w:rFonts w:ascii="Times New Roman" w:hAnsi="Times New Roman" w:cs="Times New Roman"/>
          <w:i/>
          <w:sz w:val="24"/>
          <w:szCs w:val="24"/>
        </w:rPr>
        <w:t>Linguistic Landscape in a Multilingual World</w:t>
      </w:r>
      <w:r w:rsidRPr="00F64385">
        <w:rPr>
          <w:rFonts w:ascii="Times New Roman" w:hAnsi="Times New Roman" w:cs="Times New Roman"/>
          <w:sz w:val="24"/>
          <w:szCs w:val="24"/>
        </w:rPr>
        <w:t>. Annual Review of Applied Linguistic. Cambridge: Cambridge University Press, 2013.</w:t>
      </w:r>
    </w:p>
    <w:p w:rsidR="00F64385" w:rsidRPr="00F64385" w:rsidRDefault="00F64385" w:rsidP="00E8028C">
      <w:pPr>
        <w:keepNext/>
        <w:keepLines/>
        <w:suppressAutoHyphens/>
        <w:spacing w:before="240" w:after="0" w:line="240" w:lineRule="auto"/>
        <w:jc w:val="both"/>
        <w:outlineLvl w:val="0"/>
        <w:rPr>
          <w:rFonts w:ascii="Times New Roman" w:eastAsia="Times New Roman" w:hAnsi="Times New Roman" w:cs="Times New Roman"/>
          <w:bCs/>
          <w:kern w:val="2"/>
          <w:sz w:val="24"/>
          <w:szCs w:val="48"/>
          <w:lang w:eastAsia="pt-BR"/>
        </w:rPr>
      </w:pPr>
      <w:bookmarkStart w:id="1" w:name="_Toc111309184"/>
      <w:bookmarkStart w:id="2" w:name="_Toc111308236"/>
      <w:bookmarkStart w:id="3" w:name="_Toc111306876"/>
      <w:bookmarkStart w:id="4" w:name="_Toc111306819"/>
      <w:r w:rsidRPr="00F64385">
        <w:rPr>
          <w:rFonts w:ascii="Times New Roman" w:eastAsia="Times New Roman" w:hAnsi="Times New Roman" w:cs="Times New Roman"/>
          <w:bCs/>
          <w:kern w:val="2"/>
          <w:sz w:val="24"/>
          <w:szCs w:val="48"/>
          <w:lang w:eastAsia="pt-BR"/>
        </w:rPr>
        <w:lastRenderedPageBreak/>
        <w:t xml:space="preserve">LANDRY, R.; BOURHIS, R.Y. </w:t>
      </w:r>
      <w:r w:rsidRPr="00F64385">
        <w:rPr>
          <w:rFonts w:ascii="Times New Roman" w:eastAsia="Times New Roman" w:hAnsi="Times New Roman" w:cs="Times New Roman"/>
          <w:bCs/>
          <w:i/>
          <w:kern w:val="2"/>
          <w:sz w:val="24"/>
          <w:szCs w:val="48"/>
          <w:lang w:eastAsia="pt-BR"/>
        </w:rPr>
        <w:t>Linguistic landscape and ethnolinguistic vitality</w:t>
      </w:r>
      <w:r w:rsidRPr="00F64385">
        <w:rPr>
          <w:rFonts w:ascii="Times New Roman" w:eastAsia="Times New Roman" w:hAnsi="Times New Roman" w:cs="Times New Roman"/>
          <w:bCs/>
          <w:kern w:val="2"/>
          <w:sz w:val="24"/>
          <w:szCs w:val="48"/>
          <w:lang w:eastAsia="pt-BR"/>
        </w:rPr>
        <w:t xml:space="preserve">: An empirical study. Journal of Language and Social Psychology, v. 16, n. 1, p. 23-49, 1997. DOI </w:t>
      </w:r>
      <w:hyperlink r:id="rId20">
        <w:r w:rsidRPr="00F64385">
          <w:rPr>
            <w:rFonts w:ascii="Times New Roman" w:eastAsia="Times New Roman" w:hAnsi="Times New Roman" w:cs="Times New Roman"/>
            <w:bCs/>
            <w:color w:val="0563C1" w:themeColor="hyperlink"/>
            <w:kern w:val="2"/>
            <w:sz w:val="24"/>
            <w:szCs w:val="48"/>
            <w:u w:val="single"/>
            <w:lang w:eastAsia="pt-BR"/>
          </w:rPr>
          <w:t>https://doi.org/10.1177/0261927X970161002</w:t>
        </w:r>
      </w:hyperlink>
      <w:r w:rsidRPr="00F64385">
        <w:rPr>
          <w:rFonts w:ascii="Times New Roman" w:eastAsia="Times New Roman" w:hAnsi="Times New Roman" w:cs="Times New Roman"/>
          <w:bCs/>
          <w:kern w:val="2"/>
          <w:sz w:val="24"/>
          <w:szCs w:val="48"/>
          <w:lang w:eastAsia="pt-BR"/>
        </w:rPr>
        <w:t xml:space="preserve"> . Acesso em: 25 fev. 2022.</w:t>
      </w:r>
      <w:bookmarkEnd w:id="1"/>
      <w:bookmarkEnd w:id="2"/>
      <w:bookmarkEnd w:id="3"/>
      <w:bookmarkEnd w:id="4"/>
    </w:p>
    <w:p w:rsidR="00F64385" w:rsidRPr="00F64385" w:rsidRDefault="00F64385" w:rsidP="00E8028C">
      <w:pPr>
        <w:suppressAutoHyphens/>
        <w:spacing w:line="240" w:lineRule="auto"/>
        <w:jc w:val="both"/>
        <w:rPr>
          <w:rFonts w:ascii="Times New Roman" w:hAnsi="Times New Roman" w:cs="Times New Roman"/>
          <w:lang w:eastAsia="pt-BR"/>
        </w:rPr>
      </w:pP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REH, M. (2004) </w:t>
      </w:r>
      <w:r w:rsidRPr="00F64385">
        <w:rPr>
          <w:rFonts w:ascii="Times New Roman" w:hAnsi="Times New Roman" w:cs="Times New Roman"/>
          <w:i/>
          <w:sz w:val="24"/>
          <w:szCs w:val="24"/>
        </w:rPr>
        <w:t>Escrita multilíngue</w:t>
      </w:r>
      <w:r w:rsidRPr="00F64385">
        <w:rPr>
          <w:rFonts w:ascii="Times New Roman" w:hAnsi="Times New Roman" w:cs="Times New Roman"/>
          <w:sz w:val="24"/>
          <w:szCs w:val="24"/>
        </w:rPr>
        <w:t>: Uma tipologia orientada para o leitor com exemplos do Município de Lira (Uganda). Revista Internacional de Sociologia da Linguagem 170, 141.</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SAVEDRA, M. M. G.; GAIO, M. L. M.; NETO, Marciolino Euro Carlos. </w:t>
      </w:r>
      <w:r w:rsidRPr="00F64385">
        <w:rPr>
          <w:rFonts w:ascii="Times New Roman" w:hAnsi="Times New Roman" w:cs="Times New Roman"/>
          <w:i/>
          <w:sz w:val="24"/>
          <w:szCs w:val="24"/>
        </w:rPr>
        <w:t>Contato Linguístico e imigração no Brasil</w:t>
      </w:r>
      <w:r w:rsidRPr="00F64385">
        <w:rPr>
          <w:rFonts w:ascii="Times New Roman" w:hAnsi="Times New Roman" w:cs="Times New Roman"/>
          <w:sz w:val="24"/>
          <w:szCs w:val="24"/>
        </w:rPr>
        <w:t>: fenômenos de manutenção/revitalização, language shift e code-switching. Veredas on-line, Juiz de Fora, v. 19, n.1, p. 71-91, 2015.</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SHOHAMY, E. </w:t>
      </w:r>
      <w:r w:rsidRPr="00F64385">
        <w:rPr>
          <w:rFonts w:ascii="Times New Roman" w:hAnsi="Times New Roman" w:cs="Times New Roman"/>
          <w:i/>
          <w:sz w:val="24"/>
          <w:szCs w:val="24"/>
        </w:rPr>
        <w:t>Language Policy</w:t>
      </w:r>
      <w:r w:rsidRPr="00F64385">
        <w:rPr>
          <w:rFonts w:ascii="Times New Roman" w:hAnsi="Times New Roman" w:cs="Times New Roman"/>
          <w:sz w:val="24"/>
          <w:szCs w:val="24"/>
        </w:rPr>
        <w:t>: Hidden Agenda’s and New Approaches. New York: Taylor &amp; Francis, 2006.</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SHOHAMY, E; BEN-RAFAEL, E; BARNI, M. </w:t>
      </w:r>
      <w:r w:rsidRPr="00F64385">
        <w:rPr>
          <w:rFonts w:ascii="Times New Roman" w:hAnsi="Times New Roman" w:cs="Times New Roman"/>
          <w:i/>
          <w:sz w:val="24"/>
          <w:szCs w:val="24"/>
        </w:rPr>
        <w:t>Linguistic landscape in the city</w:t>
      </w:r>
      <w:r w:rsidRPr="00F64385">
        <w:rPr>
          <w:rFonts w:ascii="Times New Roman" w:hAnsi="Times New Roman" w:cs="Times New Roman"/>
          <w:sz w:val="24"/>
          <w:szCs w:val="24"/>
        </w:rPr>
        <w:t>. British Library, 2010.</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SILVA, I. da; SANTOS, M. E. P.; JUNG, N. M.. </w:t>
      </w:r>
      <w:r w:rsidRPr="00F64385">
        <w:rPr>
          <w:rFonts w:ascii="Times New Roman" w:hAnsi="Times New Roman" w:cs="Times New Roman"/>
          <w:i/>
          <w:sz w:val="24"/>
          <w:szCs w:val="24"/>
        </w:rPr>
        <w:t>Multilinguismo e política linguística</w:t>
      </w:r>
      <w:r w:rsidRPr="00F64385">
        <w:rPr>
          <w:rFonts w:ascii="Times New Roman" w:hAnsi="Times New Roman" w:cs="Times New Roman"/>
          <w:sz w:val="24"/>
          <w:szCs w:val="24"/>
        </w:rPr>
        <w:t>: análise de uma paisagem linguística transfronteiriça. Revista Domínios da Lingu@gem. Uberlândia, vol. 10 nº 4 out/dez.2016, p. 1257-1277.</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SPINASSÉ, K. P. </w:t>
      </w:r>
      <w:r w:rsidRPr="00F64385">
        <w:rPr>
          <w:rFonts w:ascii="Times New Roman" w:hAnsi="Times New Roman" w:cs="Times New Roman"/>
          <w:i/>
          <w:sz w:val="24"/>
          <w:szCs w:val="24"/>
          <w:shd w:val="clear" w:color="auto" w:fill="FFFFFF"/>
        </w:rPr>
        <w:t>Os conceitos Língua Materna, Segunda Língua e Língua Estrangeira e os falantes de línguas alóctones minoritárias no Sul do Brasil</w:t>
      </w:r>
      <w:r w:rsidRPr="00F64385">
        <w:rPr>
          <w:rFonts w:ascii="Times New Roman" w:hAnsi="Times New Roman" w:cs="Times New Roman"/>
          <w:sz w:val="24"/>
          <w:szCs w:val="24"/>
          <w:shd w:val="clear" w:color="auto" w:fill="FFFFFF"/>
        </w:rPr>
        <w:t xml:space="preserve">. Revista Contingentia, Vol. 1. Porto Alegre, 2006. Disponível em: </w:t>
      </w:r>
      <w:hyperlink r:id="rId21">
        <w:r w:rsidRPr="00F64385">
          <w:rPr>
            <w:rFonts w:ascii="Times New Roman" w:hAnsi="Times New Roman" w:cs="Times New Roman"/>
            <w:color w:val="0563C1" w:themeColor="hyperlink"/>
            <w:sz w:val="24"/>
            <w:szCs w:val="24"/>
            <w:u w:val="single"/>
            <w:shd w:val="clear" w:color="auto" w:fill="FFFFFF"/>
          </w:rPr>
          <w:t>https://seer.ufrgs.br/index.php/contingentia/article/view/3837/2144</w:t>
        </w:r>
      </w:hyperlink>
      <w:r w:rsidRPr="00F64385">
        <w:rPr>
          <w:rFonts w:ascii="Times New Roman" w:hAnsi="Times New Roman" w:cs="Times New Roman"/>
          <w:sz w:val="24"/>
          <w:szCs w:val="24"/>
          <w:shd w:val="clear" w:color="auto" w:fill="FFFFFF"/>
        </w:rPr>
        <w:t>. Acesso em: 23 maio 2022.</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shd w:val="clear" w:color="auto" w:fill="FFFFFF"/>
        </w:rPr>
        <w:t xml:space="preserve">SPOLSKY, B. </w:t>
      </w:r>
      <w:r w:rsidRPr="00F64385">
        <w:rPr>
          <w:rFonts w:ascii="Times New Roman" w:hAnsi="Times New Roman" w:cs="Times New Roman"/>
          <w:i/>
          <w:sz w:val="24"/>
          <w:szCs w:val="24"/>
          <w:shd w:val="clear" w:color="auto" w:fill="FFFFFF"/>
        </w:rPr>
        <w:t>Language Policy.</w:t>
      </w:r>
      <w:r w:rsidRPr="00F64385">
        <w:rPr>
          <w:rFonts w:ascii="Times New Roman" w:hAnsi="Times New Roman" w:cs="Times New Roman"/>
          <w:sz w:val="24"/>
          <w:szCs w:val="24"/>
          <w:shd w:val="clear" w:color="auto" w:fill="FFFFFF"/>
        </w:rPr>
        <w:t xml:space="preserve"> Cambridge: Cambridge University Press, 2004.</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_________. </w:t>
      </w:r>
      <w:r w:rsidRPr="00F64385">
        <w:rPr>
          <w:rFonts w:ascii="Times New Roman" w:hAnsi="Times New Roman" w:cs="Times New Roman"/>
          <w:i/>
          <w:sz w:val="24"/>
          <w:szCs w:val="24"/>
        </w:rPr>
        <w:t>Language Management</w:t>
      </w:r>
      <w:r w:rsidRPr="00F64385">
        <w:rPr>
          <w:rFonts w:ascii="Times New Roman" w:hAnsi="Times New Roman" w:cs="Times New Roman"/>
          <w:sz w:val="24"/>
          <w:szCs w:val="24"/>
        </w:rPr>
        <w:t>. UK: Cambridge University. Press, 2009.</w:t>
      </w:r>
    </w:p>
    <w:p w:rsidR="00F64385" w:rsidRPr="00F64385" w:rsidRDefault="00F64385" w:rsidP="00E8028C">
      <w:pPr>
        <w:suppressAutoHyphens/>
        <w:spacing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_________. </w:t>
      </w:r>
      <w:r w:rsidRPr="00F64385">
        <w:rPr>
          <w:rFonts w:ascii="Times New Roman" w:hAnsi="Times New Roman" w:cs="Times New Roman"/>
          <w:i/>
          <w:sz w:val="24"/>
          <w:szCs w:val="24"/>
        </w:rPr>
        <w:t>Para uma Teoria de Políticas Linguísticas</w:t>
      </w:r>
      <w:r w:rsidRPr="00F64385">
        <w:rPr>
          <w:rFonts w:ascii="Times New Roman" w:hAnsi="Times New Roman" w:cs="Times New Roman"/>
          <w:sz w:val="24"/>
          <w:szCs w:val="24"/>
        </w:rPr>
        <w:t xml:space="preserve">. ReVEL, vol. 14, n. 26, 2016. Tradução de Paloma Petry. Revisão técnica de Pedro M. Garcez. Disponível em: </w:t>
      </w:r>
      <w:hyperlink r:id="rId22">
        <w:r w:rsidRPr="00F64385">
          <w:rPr>
            <w:rFonts w:ascii="Times New Roman" w:hAnsi="Times New Roman" w:cs="Times New Roman"/>
            <w:color w:val="0563C1" w:themeColor="hyperlink"/>
            <w:sz w:val="24"/>
            <w:szCs w:val="24"/>
            <w:u w:val="single"/>
          </w:rPr>
          <w:t>www.revel.inf.br</w:t>
        </w:r>
      </w:hyperlink>
      <w:r w:rsidRPr="00F64385">
        <w:rPr>
          <w:rFonts w:ascii="Times New Roman" w:hAnsi="Times New Roman" w:cs="Times New Roman"/>
          <w:sz w:val="24"/>
          <w:szCs w:val="24"/>
        </w:rPr>
        <w:t>. Acesso em: 21 abr. 2022.</w:t>
      </w:r>
    </w:p>
    <w:p w:rsidR="00F64385" w:rsidRPr="00F64385" w:rsidRDefault="00F64385" w:rsidP="00E8028C">
      <w:pPr>
        <w:suppressAutoHyphens/>
        <w:spacing w:after="200" w:line="240" w:lineRule="auto"/>
        <w:jc w:val="both"/>
        <w:rPr>
          <w:rFonts w:ascii="Times New Roman" w:hAnsi="Times New Roman" w:cs="Times New Roman"/>
          <w:sz w:val="24"/>
          <w:szCs w:val="24"/>
        </w:rPr>
      </w:pPr>
      <w:r w:rsidRPr="00F64385">
        <w:rPr>
          <w:rFonts w:ascii="Times New Roman" w:hAnsi="Times New Roman" w:cs="Times New Roman"/>
          <w:sz w:val="24"/>
          <w:szCs w:val="24"/>
        </w:rPr>
        <w:t xml:space="preserve">TEIXEIRA, M. J. </w:t>
      </w:r>
      <w:r w:rsidRPr="00F64385">
        <w:rPr>
          <w:rFonts w:ascii="Times New Roman" w:hAnsi="Times New Roman" w:cs="Times New Roman"/>
          <w:i/>
          <w:sz w:val="24"/>
          <w:szCs w:val="24"/>
        </w:rPr>
        <w:t>As línguas em Witmarsum: atitudes linguísticas de alunos em um colégio de campo no contexto multilíngue.</w:t>
      </w:r>
      <w:r w:rsidRPr="00F64385">
        <w:rPr>
          <w:rFonts w:ascii="Times New Roman" w:hAnsi="Times New Roman" w:cs="Times New Roman"/>
          <w:sz w:val="24"/>
          <w:szCs w:val="24"/>
        </w:rPr>
        <w:t xml:space="preserve"> Ponta Grossa, 2019. Dissertação (Mestrado em Estudos da Linguagem - Área de Concentração: Linguagem, Identidade e Subjetividade), Universidade Estadual de Ponta Grossa.</w:t>
      </w:r>
    </w:p>
    <w:p w:rsidR="00F64385" w:rsidRPr="00F64385" w:rsidRDefault="00F64385" w:rsidP="00E8028C">
      <w:pPr>
        <w:suppressAutoHyphens/>
        <w:spacing w:after="0" w:line="240" w:lineRule="auto"/>
        <w:rPr>
          <w:rFonts w:ascii="Garamond" w:hAnsi="Garamond" w:cs="Times New Roman"/>
          <w:sz w:val="24"/>
          <w:szCs w:val="24"/>
        </w:rPr>
      </w:pPr>
    </w:p>
    <w:p w:rsidR="00F64385" w:rsidRPr="00F64385" w:rsidRDefault="00F64385" w:rsidP="00E8028C">
      <w:pPr>
        <w:suppressAutoHyphens/>
        <w:spacing w:after="0" w:line="240" w:lineRule="auto"/>
        <w:rPr>
          <w:rFonts w:ascii="Garamond" w:hAnsi="Garamond" w:cs="Times New Roman"/>
          <w:sz w:val="24"/>
          <w:szCs w:val="24"/>
        </w:rPr>
      </w:pPr>
    </w:p>
    <w:p w:rsidR="00F64385" w:rsidRPr="00F64385" w:rsidRDefault="00F64385" w:rsidP="00E8028C">
      <w:pPr>
        <w:spacing w:line="240" w:lineRule="auto"/>
        <w:jc w:val="both"/>
        <w:rPr>
          <w:rFonts w:ascii="Times New Roman" w:hAnsi="Times New Roman" w:cs="Times New Roman"/>
          <w:b/>
          <w:sz w:val="24"/>
          <w:szCs w:val="24"/>
        </w:rPr>
      </w:pPr>
    </w:p>
    <w:sectPr w:rsidR="00F64385" w:rsidRPr="00F6438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3D4" w:rsidRDefault="002B13D4" w:rsidP="00CB1CD5">
      <w:pPr>
        <w:spacing w:after="0" w:line="240" w:lineRule="auto"/>
      </w:pPr>
      <w:r>
        <w:separator/>
      </w:r>
    </w:p>
  </w:endnote>
  <w:endnote w:type="continuationSeparator" w:id="0">
    <w:p w:rsidR="002B13D4" w:rsidRDefault="002B13D4" w:rsidP="00CB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3D4" w:rsidRDefault="002B13D4" w:rsidP="00CB1CD5">
      <w:pPr>
        <w:spacing w:after="0" w:line="240" w:lineRule="auto"/>
      </w:pPr>
      <w:r>
        <w:separator/>
      </w:r>
    </w:p>
  </w:footnote>
  <w:footnote w:type="continuationSeparator" w:id="0">
    <w:p w:rsidR="002B13D4" w:rsidRDefault="002B13D4" w:rsidP="00CB1CD5">
      <w:pPr>
        <w:spacing w:after="0" w:line="240" w:lineRule="auto"/>
      </w:pPr>
      <w:r>
        <w:continuationSeparator/>
      </w:r>
    </w:p>
  </w:footnote>
  <w:footnote w:id="1">
    <w:p w:rsidR="00D5567C" w:rsidRPr="00DA502E" w:rsidRDefault="00D5567C" w:rsidP="00D5567C">
      <w:pPr>
        <w:pStyle w:val="Textodenotaderodap"/>
        <w:jc w:val="both"/>
        <w:rPr>
          <w:rFonts w:ascii="Times New Roman" w:hAnsi="Times New Roman" w:cs="Times New Roman"/>
        </w:rPr>
      </w:pPr>
      <w:r w:rsidRPr="00DA502E">
        <w:rPr>
          <w:rStyle w:val="Refdenotaderodap"/>
          <w:rFonts w:ascii="Times New Roman" w:hAnsi="Times New Roman" w:cs="Times New Roman"/>
        </w:rPr>
        <w:footnoteRef/>
      </w:r>
      <w:r w:rsidRPr="00DA502E">
        <w:rPr>
          <w:rFonts w:ascii="Times New Roman" w:hAnsi="Times New Roman" w:cs="Times New Roman"/>
        </w:rPr>
        <w:t xml:space="preserve"> “The study of the linguistic landscape is particularly interesting in bilingual and multilingual contexts. The linguistic landscape can provide information about the sociolinguistic context and the use of the different languages in language signs [...]” (CENOZ &amp; GORTER, 2006, p. 68).</w:t>
      </w:r>
    </w:p>
  </w:footnote>
  <w:footnote w:id="2">
    <w:p w:rsidR="00C11655" w:rsidRPr="00C11655" w:rsidRDefault="00C11655" w:rsidP="00C11655">
      <w:pPr>
        <w:pStyle w:val="Textodenotaderodap"/>
        <w:jc w:val="both"/>
        <w:rPr>
          <w:rFonts w:ascii="Times New Roman" w:hAnsi="Times New Roman" w:cs="Times New Roman"/>
        </w:rPr>
      </w:pPr>
      <w:r w:rsidRPr="00C11655">
        <w:rPr>
          <w:rStyle w:val="Refdenotaderodap"/>
          <w:rFonts w:ascii="Times New Roman" w:hAnsi="Times New Roman" w:cs="Times New Roman"/>
        </w:rPr>
        <w:footnoteRef/>
      </w:r>
      <w:r w:rsidRPr="00C11655">
        <w:rPr>
          <w:rFonts w:ascii="Times New Roman" w:hAnsi="Times New Roman" w:cs="Times New Roman"/>
        </w:rPr>
        <w:t xml:space="preserve"> Baixo alemão, Alemão baixo ou baixo saxão [b] (alemão: Plattdeutsch , pronunciado [ˈplatdɔʏtʃ</w:t>
      </w:r>
      <w:r>
        <w:rPr>
          <w:rFonts w:ascii="Times New Roman" w:hAnsi="Times New Roman" w:cs="Times New Roman"/>
        </w:rPr>
        <w:t>], ou Platt</w:t>
      </w:r>
      <w:r w:rsidRPr="00C11655">
        <w:rPr>
          <w:rFonts w:ascii="Times New Roman" w:hAnsi="Times New Roman" w:cs="Times New Roman"/>
        </w:rPr>
        <w:t>, pronunciado [plat] é uma variedade de língua germânica ocidental falada principalmente no norte da Alemanha e no nordeste da Holanda. Também é falado em menor grau na diáspora alemã em todo o mundo (por exemplo, Plautdietsch).</w:t>
      </w:r>
    </w:p>
  </w:footnote>
  <w:footnote w:id="3">
    <w:p w:rsidR="00C11655" w:rsidRPr="00E21206" w:rsidRDefault="00C11655" w:rsidP="00C11655">
      <w:pPr>
        <w:pStyle w:val="Textodenotaderodap"/>
        <w:jc w:val="both"/>
        <w:rPr>
          <w:rFonts w:ascii="Times New Roman" w:hAnsi="Times New Roman" w:cs="Times New Roman"/>
        </w:rPr>
      </w:pPr>
      <w:r w:rsidRPr="00E21206">
        <w:rPr>
          <w:rStyle w:val="Caracteresdenotaderodap"/>
          <w:rFonts w:ascii="Times New Roman" w:hAnsi="Times New Roman" w:cs="Times New Roman"/>
          <w:vertAlign w:val="superscript"/>
        </w:rPr>
        <w:footnoteRef/>
      </w:r>
      <w:r w:rsidRPr="00E21206">
        <w:rPr>
          <w:rFonts w:ascii="Times New Roman" w:hAnsi="Times New Roman" w:cs="Times New Roman"/>
        </w:rPr>
        <w:t xml:space="preserve"> Todas as vezes que o termo for empregado em letra maiúscula estamos nos referindo à área científica, inserida nos estudos sociolinguísticos.</w:t>
      </w:r>
    </w:p>
  </w:footnote>
  <w:footnote w:id="4">
    <w:p w:rsidR="00C11655" w:rsidRPr="00E21206" w:rsidRDefault="00C11655" w:rsidP="00C11655">
      <w:pPr>
        <w:pStyle w:val="Textodenotaderodap"/>
        <w:jc w:val="both"/>
        <w:rPr>
          <w:rFonts w:ascii="Times New Roman" w:hAnsi="Times New Roman" w:cs="Times New Roman"/>
        </w:rPr>
      </w:pPr>
      <w:r w:rsidRPr="00E21206">
        <w:rPr>
          <w:rStyle w:val="Caracteresdenotaderodap"/>
          <w:rFonts w:ascii="Times New Roman" w:hAnsi="Times New Roman" w:cs="Times New Roman"/>
          <w:vertAlign w:val="superscript"/>
        </w:rPr>
        <w:footnoteRef/>
      </w:r>
      <w:r w:rsidRPr="00E21206">
        <w:rPr>
          <w:rFonts w:ascii="Times New Roman" w:hAnsi="Times New Roman" w:cs="Times New Roman"/>
          <w:vertAlign w:val="superscript"/>
        </w:rPr>
        <w:t xml:space="preserve"> </w:t>
      </w:r>
      <w:r w:rsidRPr="00E21206">
        <w:rPr>
          <w:rFonts w:ascii="Times New Roman" w:hAnsi="Times New Roman" w:cs="Times New Roman"/>
        </w:rPr>
        <w:t xml:space="preserve"> “is a most relevant arena to serve as a mechanism to create a de facto language policy” (Shohamy, 2006, p. 110).</w:t>
      </w:r>
    </w:p>
  </w:footnote>
  <w:footnote w:id="5">
    <w:p w:rsidR="00C11655" w:rsidRDefault="00C11655" w:rsidP="00C11655">
      <w:pPr>
        <w:pStyle w:val="Textodenotaderodap"/>
        <w:jc w:val="both"/>
        <w:rPr>
          <w:rFonts w:ascii="Garamond" w:hAnsi="Garamond" w:cs="Times New Roman"/>
        </w:rPr>
      </w:pPr>
      <w:r w:rsidRPr="00E21206">
        <w:rPr>
          <w:rStyle w:val="Caracteresdenotaderodap"/>
          <w:rFonts w:ascii="Times New Roman" w:hAnsi="Times New Roman" w:cs="Times New Roman"/>
          <w:vertAlign w:val="superscript"/>
        </w:rPr>
        <w:footnoteRef/>
      </w:r>
      <w:r w:rsidRPr="00E21206">
        <w:rPr>
          <w:rFonts w:ascii="Times New Roman" w:hAnsi="Times New Roman" w:cs="Times New Roman"/>
        </w:rPr>
        <w:t xml:space="preserve"> “The language of public road signs, advertising billboards, street names, place names, commercial shop signs, and public signs on government buildings combines to form the linguistic landscape of a given territory, region, or urban agglomeration” (Landry &amp; Bourhis, 1997, p. 25).</w:t>
      </w:r>
    </w:p>
  </w:footnote>
  <w:footnote w:id="6">
    <w:p w:rsidR="00C11655" w:rsidRPr="00585DCD" w:rsidRDefault="00C11655" w:rsidP="00C11655">
      <w:pPr>
        <w:pStyle w:val="Textodenotaderodap"/>
        <w:jc w:val="both"/>
        <w:rPr>
          <w:rFonts w:ascii="Times New Roman" w:hAnsi="Times New Roman" w:cs="Times New Roman"/>
        </w:rPr>
      </w:pPr>
      <w:r w:rsidRPr="00585DCD">
        <w:rPr>
          <w:rStyle w:val="Caracteresdenotaderodap"/>
          <w:rFonts w:ascii="Times New Roman" w:hAnsi="Times New Roman" w:cs="Times New Roman"/>
          <w:vertAlign w:val="superscript"/>
        </w:rPr>
        <w:footnoteRef/>
      </w:r>
      <w:r w:rsidRPr="00585DCD">
        <w:rPr>
          <w:rFonts w:ascii="Times New Roman" w:hAnsi="Times New Roman" w:cs="Times New Roman"/>
        </w:rPr>
        <w:t xml:space="preserve"> “[...] as one domain within language in the public space; it refers to specific language objects that mark the public sphere and is used here as one case. Examples of LL are road signs, names of sites, streets, names of buildings, place and institutions, advertising billboards, commercials and personal visiting cards as well as labels, instructions and public forms, name of shops and public signs” (Shohamy, 2006, p. 112).</w:t>
      </w:r>
    </w:p>
  </w:footnote>
  <w:footnote w:id="7">
    <w:p w:rsidR="00C11655" w:rsidRPr="00C11655" w:rsidRDefault="00C11655" w:rsidP="00C11655">
      <w:pPr>
        <w:pStyle w:val="Textodenotaderodap"/>
        <w:jc w:val="both"/>
        <w:rPr>
          <w:rFonts w:ascii="Times New Roman" w:hAnsi="Times New Roman" w:cs="Times New Roman"/>
        </w:rPr>
      </w:pPr>
      <w:r w:rsidRPr="005C34B3">
        <w:rPr>
          <w:rStyle w:val="Caracteresdenotaderodap"/>
          <w:rFonts w:ascii="Times New Roman" w:hAnsi="Times New Roman" w:cs="Times New Roman"/>
          <w:vertAlign w:val="superscript"/>
        </w:rPr>
        <w:footnoteRef/>
      </w:r>
      <w:r w:rsidRPr="00C11655">
        <w:rPr>
          <w:rFonts w:ascii="Times New Roman" w:hAnsi="Times New Roman" w:cs="Times New Roman"/>
        </w:rPr>
        <w:t xml:space="preserve"> Línguas oriundas de outras regiões, que foram trazidas para nosso território – como as línguas de imigração.</w:t>
      </w:r>
    </w:p>
  </w:footnote>
  <w:footnote w:id="8">
    <w:p w:rsidR="00C11655" w:rsidRDefault="00C11655" w:rsidP="00C11655">
      <w:pPr>
        <w:pStyle w:val="Textodenotaderodap"/>
        <w:jc w:val="both"/>
        <w:rPr>
          <w:rFonts w:ascii="Times New Roman" w:hAnsi="Times New Roman" w:cs="Times New Roman"/>
        </w:rPr>
      </w:pPr>
      <w:r w:rsidRPr="005C34B3">
        <w:rPr>
          <w:rStyle w:val="Caracteresdenotaderodap"/>
          <w:rFonts w:ascii="Times New Roman" w:hAnsi="Times New Roman" w:cs="Times New Roman"/>
          <w:vertAlign w:val="superscript"/>
        </w:rPr>
        <w:footnoteRef/>
      </w:r>
      <w:r w:rsidRPr="005C34B3">
        <w:rPr>
          <w:rFonts w:ascii="Times New Roman" w:hAnsi="Times New Roman" w:cs="Times New Roman"/>
          <w:vertAlign w:val="superscript"/>
        </w:rPr>
        <w:t xml:space="preserve"> ‘</w:t>
      </w:r>
      <w:r w:rsidRPr="00C11655">
        <w:rPr>
          <w:rFonts w:ascii="Times New Roman" w:hAnsi="Times New Roman" w:cs="Times New Roman"/>
        </w:rPr>
        <w:t xml:space="preserve">The relationship with the physical territory is thus not only one of support or surround-ings, a simple panorama in which the immigrant languages can be seen, but is itself a factor in the construction of the significance of these languages’ (Barni, 2008 </w:t>
      </w:r>
      <w:r w:rsidRPr="00C11655">
        <w:rPr>
          <w:rFonts w:ascii="Times New Roman" w:hAnsi="Times New Roman" w:cs="Times New Roman"/>
          <w:i/>
        </w:rPr>
        <w:t xml:space="preserve">apud </w:t>
      </w:r>
      <w:r w:rsidRPr="00C11655">
        <w:rPr>
          <w:rFonts w:ascii="Times New Roman" w:hAnsi="Times New Roman" w:cs="Times New Roman"/>
        </w:rPr>
        <w:t>Begatto; Hélot, 2010, p. 277).</w:t>
      </w:r>
    </w:p>
  </w:footnote>
  <w:footnote w:id="9">
    <w:p w:rsidR="00F64385" w:rsidRPr="00F64385" w:rsidRDefault="00F64385" w:rsidP="00F64385">
      <w:pPr>
        <w:pStyle w:val="Textodenotaderodap"/>
        <w:jc w:val="both"/>
        <w:rPr>
          <w:rFonts w:ascii="Times New Roman" w:hAnsi="Times New Roman" w:cs="Times New Roman"/>
        </w:rPr>
      </w:pPr>
      <w:r w:rsidRPr="00FC20AD">
        <w:rPr>
          <w:rStyle w:val="Caracteresdenotaderodap"/>
          <w:rFonts w:ascii="Times New Roman" w:hAnsi="Times New Roman" w:cs="Times New Roman"/>
          <w:vertAlign w:val="superscript"/>
        </w:rPr>
        <w:footnoteRef/>
      </w:r>
      <w:r w:rsidRPr="00FC20AD">
        <w:rPr>
          <w:rFonts w:ascii="Times New Roman" w:hAnsi="Times New Roman" w:cs="Times New Roman"/>
          <w:i/>
        </w:rPr>
        <w:t xml:space="preserve"> </w:t>
      </w:r>
      <w:r w:rsidRPr="00F64385">
        <w:rPr>
          <w:rFonts w:ascii="Times New Roman" w:hAnsi="Times New Roman" w:cs="Times New Roman"/>
        </w:rPr>
        <w:t>“As terras da antiga Fazenda Cancela originam-se das sesmarias concedidas, em 1708, ao Capitão Manuel Gonçalves da Cruz, residente em Paranaguá” (DÜCK, 2005, p. 09).</w:t>
      </w:r>
    </w:p>
  </w:footnote>
  <w:footnote w:id="10">
    <w:p w:rsidR="00F64385" w:rsidRDefault="00F64385" w:rsidP="00F64385">
      <w:pPr>
        <w:pStyle w:val="Textodenotaderodap"/>
        <w:jc w:val="both"/>
      </w:pPr>
      <w:r w:rsidRPr="00FC20AD">
        <w:rPr>
          <w:rStyle w:val="Caracteresdenotaderodap"/>
          <w:rFonts w:ascii="Times New Roman" w:hAnsi="Times New Roman" w:cs="Times New Roman"/>
          <w:vertAlign w:val="superscript"/>
        </w:rPr>
        <w:footnoteRef/>
      </w:r>
      <w:r w:rsidRPr="00F64385">
        <w:rPr>
          <w:rFonts w:ascii="Times New Roman" w:hAnsi="Times New Roman" w:cs="Times New Roman"/>
        </w:rPr>
        <w:t xml:space="preserve"> Baixo alemão, Alemão baixo ou baixo </w:t>
      </w:r>
      <w:r w:rsidR="00B73A2A">
        <w:rPr>
          <w:rFonts w:ascii="Times New Roman" w:hAnsi="Times New Roman" w:cs="Times New Roman"/>
        </w:rPr>
        <w:t>saxão [b] (alemão: Plattdeutsch</w:t>
      </w:r>
      <w:r w:rsidRPr="00F64385">
        <w:rPr>
          <w:rFonts w:ascii="Times New Roman" w:hAnsi="Times New Roman" w:cs="Times New Roman"/>
        </w:rPr>
        <w:t>, pronunciado [ˈplatdɔʏtʃ</w:t>
      </w:r>
      <w:r w:rsidR="00FC20AD">
        <w:rPr>
          <w:rFonts w:ascii="Times New Roman" w:hAnsi="Times New Roman" w:cs="Times New Roman"/>
        </w:rPr>
        <w:t>], ou Platt</w:t>
      </w:r>
      <w:r w:rsidRPr="00F64385">
        <w:rPr>
          <w:rFonts w:ascii="Times New Roman" w:hAnsi="Times New Roman" w:cs="Times New Roman"/>
        </w:rPr>
        <w:t xml:space="preserve"> pronunciado [plat] é uma variedade de língua germânica ocidental falada principalmente no norte da Alemanha e no nordeste da Holanda. Também é falado em menor grau na diáspora alemã em todo o mundo (por exemplo, Plautdietsch).</w:t>
      </w:r>
    </w:p>
  </w:footnote>
  <w:footnote w:id="11">
    <w:p w:rsidR="00F64385" w:rsidRPr="00F64385" w:rsidRDefault="00F64385" w:rsidP="00F64385">
      <w:pPr>
        <w:pStyle w:val="Textodenotaderodap"/>
        <w:jc w:val="both"/>
        <w:rPr>
          <w:rFonts w:ascii="Times New Roman" w:hAnsi="Times New Roman" w:cs="Times New Roman"/>
        </w:rPr>
      </w:pPr>
      <w:r w:rsidRPr="00FC20AD">
        <w:rPr>
          <w:rStyle w:val="Caracteresdenotaderodap"/>
          <w:rFonts w:ascii="Times New Roman" w:hAnsi="Times New Roman" w:cs="Times New Roman"/>
          <w:vertAlign w:val="superscript"/>
        </w:rPr>
        <w:footnoteRef/>
      </w:r>
      <w:r w:rsidRPr="00FC20AD">
        <w:rPr>
          <w:rFonts w:ascii="Times New Roman" w:hAnsi="Times New Roman" w:cs="Times New Roman"/>
          <w:vertAlign w:val="superscript"/>
        </w:rPr>
        <w:t xml:space="preserve"> </w:t>
      </w:r>
      <w:r w:rsidRPr="00F64385">
        <w:rPr>
          <w:rFonts w:ascii="Times New Roman" w:hAnsi="Times New Roman" w:cs="Times New Roman"/>
        </w:rPr>
        <w:t>“</w:t>
      </w:r>
      <w:r w:rsidRPr="00F64385">
        <w:rPr>
          <w:rFonts w:ascii="Times New Roman" w:hAnsi="Times New Roman" w:cs="Times New Roman"/>
          <w:shd w:val="clear" w:color="auto" w:fill="FFFFFF"/>
        </w:rPr>
        <w:t>A Língua Materna, ou a Primeira Língua (L1) não é, necessariamente, a língua da mãe, nem a primeira língua que se aprende. [...] Normalmente é a língua que aprendemos primeiro e em casa, através do pais, e também é frequentemente a língua da comunidade” (SPINASSÉ, 2006, p. 5).</w:t>
      </w:r>
    </w:p>
  </w:footnote>
  <w:footnote w:id="12">
    <w:p w:rsidR="00F64385" w:rsidRDefault="00F64385" w:rsidP="00F64385">
      <w:pPr>
        <w:pStyle w:val="Textodenotaderodap"/>
        <w:jc w:val="both"/>
        <w:rPr>
          <w:rFonts w:ascii="Garamond" w:hAnsi="Garamond" w:cs="Times New Roman"/>
        </w:rPr>
      </w:pPr>
      <w:r w:rsidRPr="00FC20AD">
        <w:rPr>
          <w:rStyle w:val="Caracteresdenotaderodap"/>
          <w:rFonts w:ascii="Times New Roman" w:hAnsi="Times New Roman" w:cs="Times New Roman"/>
          <w:vertAlign w:val="superscript"/>
        </w:rPr>
        <w:footnoteRef/>
      </w:r>
      <w:r w:rsidRPr="00FC20AD">
        <w:rPr>
          <w:rFonts w:ascii="Times New Roman" w:hAnsi="Times New Roman" w:cs="Times New Roman"/>
          <w:vertAlign w:val="superscript"/>
        </w:rPr>
        <w:t xml:space="preserve"> </w:t>
      </w:r>
      <w:r w:rsidRPr="00F64385">
        <w:rPr>
          <w:rFonts w:ascii="Times New Roman" w:hAnsi="Times New Roman" w:cs="Times New Roman"/>
        </w:rPr>
        <w:t xml:space="preserve">“Segunda língua </w:t>
      </w:r>
      <w:r w:rsidRPr="00F64385">
        <w:rPr>
          <w:rFonts w:ascii="Times New Roman" w:hAnsi="Times New Roman" w:cs="Times New Roman"/>
          <w:shd w:val="clear" w:color="auto" w:fill="FFFFFF"/>
        </w:rPr>
        <w:t>é   uma   não-primeira-língua   que   é   adquirida   sob   a   necessidade   d</w:t>
      </w:r>
      <w:r w:rsidR="003C6BF8">
        <w:rPr>
          <w:rFonts w:ascii="Times New Roman" w:hAnsi="Times New Roman" w:cs="Times New Roman"/>
          <w:shd w:val="clear" w:color="auto" w:fill="FFFFFF"/>
        </w:rPr>
        <w:t xml:space="preserve">e   comunicação e dentro de um </w:t>
      </w:r>
      <w:r w:rsidR="00FC20AD">
        <w:rPr>
          <w:rFonts w:ascii="Times New Roman" w:hAnsi="Times New Roman" w:cs="Times New Roman"/>
          <w:shd w:val="clear" w:color="auto" w:fill="FFFFFF"/>
        </w:rPr>
        <w:t xml:space="preserve">processo de </w:t>
      </w:r>
      <w:r w:rsidRPr="00F64385">
        <w:rPr>
          <w:rFonts w:ascii="Times New Roman" w:hAnsi="Times New Roman" w:cs="Times New Roman"/>
          <w:shd w:val="clear" w:color="auto" w:fill="FFFFFF"/>
        </w:rPr>
        <w:t>socialização” (SPINASSÉ, 2006, p. 6).</w:t>
      </w:r>
    </w:p>
  </w:footnote>
  <w:footnote w:id="13">
    <w:p w:rsidR="00881434" w:rsidRPr="00881434" w:rsidRDefault="00881434">
      <w:pPr>
        <w:pStyle w:val="Textodenotaderodap"/>
        <w:rPr>
          <w:rFonts w:ascii="Times New Roman" w:hAnsi="Times New Roman" w:cs="Times New Roman"/>
        </w:rPr>
      </w:pPr>
      <w:r w:rsidRPr="00881434">
        <w:rPr>
          <w:rStyle w:val="Refdenotaderodap"/>
          <w:rFonts w:ascii="Times New Roman" w:hAnsi="Times New Roman" w:cs="Times New Roman"/>
        </w:rPr>
        <w:footnoteRef/>
      </w:r>
      <w:r w:rsidRPr="00881434">
        <w:rPr>
          <w:rFonts w:ascii="Times New Roman" w:hAnsi="Times New Roman" w:cs="Times New Roman"/>
        </w:rPr>
        <w:t xml:space="preserve"> Top-down (Ben-Rafael </w:t>
      </w:r>
      <w:r w:rsidRPr="00881434">
        <w:rPr>
          <w:rFonts w:ascii="Times New Roman" w:hAnsi="Times New Roman" w:cs="Times New Roman"/>
          <w:i/>
        </w:rPr>
        <w:t>et al.</w:t>
      </w:r>
      <w:r w:rsidRPr="00881434">
        <w:rPr>
          <w:rFonts w:ascii="Times New Roman" w:hAnsi="Times New Roman" w:cs="Times New Roman"/>
        </w:rPr>
        <w:t xml:space="preserve"> 2006)</w:t>
      </w:r>
      <w:r>
        <w:rPr>
          <w:rFonts w:ascii="Times New Roman" w:hAnsi="Times New Roman" w:cs="Times New Roman"/>
        </w:rPr>
        <w:t>.</w:t>
      </w:r>
    </w:p>
  </w:footnote>
  <w:footnote w:id="14">
    <w:p w:rsidR="00881434" w:rsidRPr="00881434" w:rsidRDefault="00881434">
      <w:pPr>
        <w:pStyle w:val="Textodenotaderodap"/>
        <w:rPr>
          <w:rFonts w:ascii="Times New Roman" w:hAnsi="Times New Roman" w:cs="Times New Roman"/>
        </w:rPr>
      </w:pPr>
      <w:r w:rsidRPr="00881434">
        <w:rPr>
          <w:rStyle w:val="Refdenotaderodap"/>
          <w:rFonts w:ascii="Times New Roman" w:hAnsi="Times New Roman" w:cs="Times New Roman"/>
        </w:rPr>
        <w:footnoteRef/>
      </w:r>
      <w:r w:rsidRPr="00881434">
        <w:rPr>
          <w:rFonts w:ascii="Times New Roman" w:hAnsi="Times New Roman" w:cs="Times New Roman"/>
        </w:rPr>
        <w:t xml:space="preserve"> Bottom-up (Ben-Rafael </w:t>
      </w:r>
      <w:r w:rsidRPr="00881434">
        <w:rPr>
          <w:rFonts w:ascii="Times New Roman" w:hAnsi="Times New Roman" w:cs="Times New Roman"/>
          <w:i/>
        </w:rPr>
        <w:t>et al.</w:t>
      </w:r>
      <w:r w:rsidRPr="00881434">
        <w:rPr>
          <w:rFonts w:ascii="Times New Roman" w:hAnsi="Times New Roman" w:cs="Times New Roman"/>
        </w:rPr>
        <w:t xml:space="preserve"> 2006).</w:t>
      </w:r>
    </w:p>
  </w:footnote>
  <w:footnote w:id="15">
    <w:p w:rsidR="00F64385" w:rsidRDefault="00F64385" w:rsidP="00F64385">
      <w:pPr>
        <w:pStyle w:val="Textodenotaderodap"/>
        <w:rPr>
          <w:rFonts w:ascii="Garamond" w:hAnsi="Garamond" w:cs="Times New Roman"/>
        </w:rPr>
      </w:pPr>
      <w:r w:rsidRPr="00881434">
        <w:rPr>
          <w:rStyle w:val="Caracteresdenotaderodap"/>
          <w:rFonts w:ascii="Times New Roman" w:hAnsi="Times New Roman" w:cs="Times New Roman"/>
          <w:vertAlign w:val="superscript"/>
        </w:rPr>
        <w:footnoteRef/>
      </w:r>
      <w:r w:rsidRPr="00881434">
        <w:rPr>
          <w:rFonts w:ascii="Times New Roman" w:hAnsi="Times New Roman" w:cs="Times New Roman"/>
          <w:vertAlign w:val="superscript"/>
        </w:rPr>
        <w:t xml:space="preserve"> </w:t>
      </w:r>
      <w:r w:rsidRPr="00881434">
        <w:rPr>
          <w:rFonts w:ascii="Times New Roman" w:hAnsi="Times New Roman" w:cs="Times New Roman"/>
        </w:rPr>
        <w:t>Plautdietsch ess onse Sproak!</w:t>
      </w:r>
    </w:p>
  </w:footnote>
  <w:footnote w:id="16">
    <w:p w:rsidR="00F64385" w:rsidRPr="00721F87" w:rsidRDefault="00F64385" w:rsidP="00F64385">
      <w:pPr>
        <w:pStyle w:val="Textodenotaderodap"/>
        <w:jc w:val="both"/>
        <w:rPr>
          <w:rFonts w:ascii="Times New Roman" w:hAnsi="Times New Roman" w:cs="Times New Roman"/>
        </w:rPr>
      </w:pPr>
      <w:r w:rsidRPr="004818DD">
        <w:rPr>
          <w:rStyle w:val="Caracteresdenotaderodap"/>
          <w:vertAlign w:val="superscript"/>
        </w:rPr>
        <w:footnoteRef/>
      </w:r>
      <w:r>
        <w:rPr>
          <w:rFonts w:ascii="Garamond" w:hAnsi="Garamond"/>
        </w:rPr>
        <w:t xml:space="preserve"> </w:t>
      </w:r>
      <w:r w:rsidRPr="00721F87">
        <w:rPr>
          <w:rFonts w:ascii="Times New Roman" w:hAnsi="Times New Roman" w:cs="Times New Roman"/>
        </w:rPr>
        <w:t xml:space="preserve">Disponível em: </w:t>
      </w:r>
      <w:hyperlink r:id="rId1">
        <w:r w:rsidRPr="00721F87">
          <w:rPr>
            <w:rStyle w:val="LinkdaInternet"/>
            <w:rFonts w:ascii="Times New Roman" w:hAnsi="Times New Roman" w:cs="Times New Roman"/>
          </w:rPr>
          <w:t>https://leismunicipais.com.br/a1/pr/p/palmeira/lei-ordinaria/2021/535/5348/lei-ordinaria-n-5348-2021-dispoe-sobre-a-cooficializacao-da-lingua-plautdietsch-a-lingua-portuguesa-r-bn-x-no-municipio-de-palmeira?q=plautdietsch</w:t>
        </w:r>
      </w:hyperlink>
      <w:r w:rsidRPr="00721F87">
        <w:rPr>
          <w:rFonts w:ascii="Times New Roman" w:hAnsi="Times New Roman" w:cs="Times New Roman"/>
        </w:rPr>
        <w:t>. Acesso em: 12 mar.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5B9D"/>
    <w:multiLevelType w:val="multilevel"/>
    <w:tmpl w:val="D642241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5F41123D"/>
    <w:multiLevelType w:val="hybridMultilevel"/>
    <w:tmpl w:val="70DE6CCA"/>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F6"/>
    <w:rsid w:val="002440F6"/>
    <w:rsid w:val="002B13D4"/>
    <w:rsid w:val="00335F6F"/>
    <w:rsid w:val="00374FCC"/>
    <w:rsid w:val="003822FD"/>
    <w:rsid w:val="003C6BF8"/>
    <w:rsid w:val="00406F46"/>
    <w:rsid w:val="004818DD"/>
    <w:rsid w:val="00487A02"/>
    <w:rsid w:val="004B0790"/>
    <w:rsid w:val="00551585"/>
    <w:rsid w:val="00580161"/>
    <w:rsid w:val="00585DCD"/>
    <w:rsid w:val="00593F34"/>
    <w:rsid w:val="005C34B3"/>
    <w:rsid w:val="006037D4"/>
    <w:rsid w:val="006121D9"/>
    <w:rsid w:val="00644CCB"/>
    <w:rsid w:val="00650323"/>
    <w:rsid w:val="0067633B"/>
    <w:rsid w:val="00721F87"/>
    <w:rsid w:val="00817D0D"/>
    <w:rsid w:val="00857098"/>
    <w:rsid w:val="00881434"/>
    <w:rsid w:val="008B26C0"/>
    <w:rsid w:val="008C794A"/>
    <w:rsid w:val="009209FA"/>
    <w:rsid w:val="00965A76"/>
    <w:rsid w:val="009871BA"/>
    <w:rsid w:val="00AF69D7"/>
    <w:rsid w:val="00B2298A"/>
    <w:rsid w:val="00B54922"/>
    <w:rsid w:val="00B73A2A"/>
    <w:rsid w:val="00BB3672"/>
    <w:rsid w:val="00BF78D7"/>
    <w:rsid w:val="00C11655"/>
    <w:rsid w:val="00C846ED"/>
    <w:rsid w:val="00CB1CD5"/>
    <w:rsid w:val="00CC4D4A"/>
    <w:rsid w:val="00CF1242"/>
    <w:rsid w:val="00D5567C"/>
    <w:rsid w:val="00D75016"/>
    <w:rsid w:val="00E21206"/>
    <w:rsid w:val="00E277BA"/>
    <w:rsid w:val="00E6127F"/>
    <w:rsid w:val="00E8028C"/>
    <w:rsid w:val="00E80A33"/>
    <w:rsid w:val="00EF7D12"/>
    <w:rsid w:val="00F1042B"/>
    <w:rsid w:val="00F64385"/>
    <w:rsid w:val="00F70D5D"/>
    <w:rsid w:val="00FC20AD"/>
    <w:rsid w:val="00FD59F1"/>
    <w:rsid w:val="00FE63D7"/>
    <w:rsid w:val="00FF38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B0645-1710-4FAE-8E9B-9C961EC6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CB1CD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B1CD5"/>
    <w:rPr>
      <w:sz w:val="20"/>
      <w:szCs w:val="20"/>
    </w:rPr>
  </w:style>
  <w:style w:type="character" w:styleId="Refdenotaderodap">
    <w:name w:val="footnote reference"/>
    <w:basedOn w:val="Fontepargpadro"/>
    <w:uiPriority w:val="99"/>
    <w:semiHidden/>
    <w:unhideWhenUsed/>
    <w:rsid w:val="00CB1CD5"/>
    <w:rPr>
      <w:vertAlign w:val="superscript"/>
    </w:rPr>
  </w:style>
  <w:style w:type="character" w:customStyle="1" w:styleId="Caracteresdenotaderodap">
    <w:name w:val="Caracteres de nota de rodapé"/>
    <w:qFormat/>
    <w:rsid w:val="00C11655"/>
  </w:style>
  <w:style w:type="character" w:customStyle="1" w:styleId="LinkdaInternet">
    <w:name w:val="Link da Internet"/>
    <w:basedOn w:val="Fontepargpadro"/>
    <w:uiPriority w:val="99"/>
    <w:unhideWhenUsed/>
    <w:rsid w:val="00F64385"/>
    <w:rPr>
      <w:color w:val="0000FF"/>
      <w:u w:val="single"/>
    </w:rPr>
  </w:style>
  <w:style w:type="paragraph" w:styleId="Legenda">
    <w:name w:val="caption"/>
    <w:basedOn w:val="Normal"/>
    <w:next w:val="Normal"/>
    <w:uiPriority w:val="35"/>
    <w:unhideWhenUsed/>
    <w:qFormat/>
    <w:rsid w:val="00F64385"/>
    <w:pPr>
      <w:suppressAutoHyphens/>
      <w:spacing w:after="200" w:line="240" w:lineRule="auto"/>
    </w:pPr>
    <w:rPr>
      <w:i/>
      <w:iCs/>
      <w:color w:val="44546A" w:themeColor="text2"/>
      <w:sz w:val="18"/>
      <w:szCs w:val="18"/>
    </w:rPr>
  </w:style>
  <w:style w:type="paragraph" w:customStyle="1" w:styleId="Contedodoquadro">
    <w:name w:val="Conteúdo do quadro"/>
    <w:basedOn w:val="Normal"/>
    <w:qFormat/>
    <w:rsid w:val="00F64385"/>
    <w:pPr>
      <w:suppressAutoHyphens/>
      <w:spacing w:after="0" w:line="240" w:lineRule="auto"/>
    </w:pPr>
  </w:style>
  <w:style w:type="paragraph" w:styleId="PargrafodaLista">
    <w:name w:val="List Paragraph"/>
    <w:basedOn w:val="Normal"/>
    <w:uiPriority w:val="34"/>
    <w:qFormat/>
    <w:rsid w:val="005C3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38381">
      <w:bodyDiv w:val="1"/>
      <w:marLeft w:val="0"/>
      <w:marRight w:val="0"/>
      <w:marTop w:val="0"/>
      <w:marBottom w:val="0"/>
      <w:divBdr>
        <w:top w:val="none" w:sz="0" w:space="0" w:color="auto"/>
        <w:left w:val="none" w:sz="0" w:space="0" w:color="auto"/>
        <w:bottom w:val="none" w:sz="0" w:space="0" w:color="auto"/>
        <w:right w:val="none" w:sz="0" w:space="0" w:color="auto"/>
      </w:divBdr>
    </w:div>
    <w:div w:id="512496642">
      <w:bodyDiv w:val="1"/>
      <w:marLeft w:val="0"/>
      <w:marRight w:val="0"/>
      <w:marTop w:val="0"/>
      <w:marBottom w:val="0"/>
      <w:divBdr>
        <w:top w:val="none" w:sz="0" w:space="0" w:color="auto"/>
        <w:left w:val="none" w:sz="0" w:space="0" w:color="auto"/>
        <w:bottom w:val="none" w:sz="0" w:space="0" w:color="auto"/>
        <w:right w:val="none" w:sz="0" w:space="0" w:color="auto"/>
      </w:divBdr>
    </w:div>
    <w:div w:id="17398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seer.ufrgs.br/index.php/contingentia/article/view/3837/2144"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doi.org/10.1177/0261927X970161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revel.inf.b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eismunicipais.com.br/a1/pr/p/palmeira/lei-ordinaria/2021/535/5348/lei-ordinaria-n-5348-2021-dispoe-sobre-a-cooficializacao-da-lingua-plautdietsch-a-lingua-portuguesa-r-bn-x-no-municipio-de-palmeira?q=plautdietsch"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8EAF4-CCFC-4C63-B7F0-A9E0FCE5E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5144</Words>
  <Characters>27781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4</cp:revision>
  <dcterms:created xsi:type="dcterms:W3CDTF">2022-09-12T23:59:00Z</dcterms:created>
  <dcterms:modified xsi:type="dcterms:W3CDTF">2022-09-13T00:38:00Z</dcterms:modified>
</cp:coreProperties>
</file>