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58255A" w:rsidRDefault="00F36B80">
      <w:pPr>
        <w:pBdr>
          <w:top w:val="nil"/>
          <w:left w:val="nil"/>
          <w:bottom w:val="nil"/>
          <w:right w:val="nil"/>
          <w:between w:val="nil"/>
        </w:pBdr>
        <w:spacing w:after="0" w:line="240" w:lineRule="auto"/>
        <w:ind w:left="1" w:hanging="3"/>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7"/>
          <w:szCs w:val="27"/>
        </w:rPr>
        <w:t>Apresentação: Subverter a língua, é sempre possível e legítimo?</w:t>
      </w:r>
    </w:p>
    <w:p w14:paraId="00000002" w14:textId="77777777" w:rsidR="0058255A" w:rsidRDefault="00F36B80">
      <w:pPr>
        <w:pBdr>
          <w:top w:val="nil"/>
          <w:left w:val="nil"/>
          <w:bottom w:val="nil"/>
          <w:right w:val="nil"/>
          <w:between w:val="nil"/>
        </w:pBdr>
        <w:spacing w:before="280" w:after="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D0D0D"/>
          <w:sz w:val="24"/>
          <w:szCs w:val="24"/>
        </w:rPr>
        <w:t xml:space="preserve">Maria </w:t>
      </w:r>
      <w:proofErr w:type="spellStart"/>
      <w:r>
        <w:rPr>
          <w:rFonts w:ascii="Times New Roman" w:eastAsia="Times New Roman" w:hAnsi="Times New Roman" w:cs="Times New Roman"/>
          <w:color w:val="0D0D0D"/>
          <w:sz w:val="24"/>
          <w:szCs w:val="24"/>
        </w:rPr>
        <w:t>Cleci</w:t>
      </w:r>
      <w:proofErr w:type="spellEnd"/>
      <w:r>
        <w:rPr>
          <w:rFonts w:ascii="Times New Roman" w:eastAsia="Times New Roman" w:hAnsi="Times New Roman" w:cs="Times New Roman"/>
          <w:color w:val="0D0D0D"/>
          <w:sz w:val="24"/>
          <w:szCs w:val="24"/>
        </w:rPr>
        <w:t xml:space="preserve"> Venturini</w:t>
      </w:r>
    </w:p>
    <w:p w14:paraId="00000003" w14:textId="77777777" w:rsidR="0058255A" w:rsidRDefault="00F36B80">
      <w:pPr>
        <w:pBdr>
          <w:top w:val="nil"/>
          <w:left w:val="nil"/>
          <w:bottom w:val="nil"/>
          <w:right w:val="nil"/>
          <w:between w:val="nil"/>
        </w:pBdr>
        <w:spacing w:before="280" w:after="0" w:line="240" w:lineRule="auto"/>
        <w:ind w:left="0" w:hanging="2"/>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D0D0D"/>
          <w:sz w:val="24"/>
          <w:szCs w:val="24"/>
        </w:rPr>
        <w:t xml:space="preserve">Marilda Aparecida </w:t>
      </w:r>
      <w:proofErr w:type="spellStart"/>
      <w:r>
        <w:rPr>
          <w:rFonts w:ascii="Times New Roman" w:eastAsia="Times New Roman" w:hAnsi="Times New Roman" w:cs="Times New Roman"/>
          <w:color w:val="0D0D0D"/>
          <w:sz w:val="24"/>
          <w:szCs w:val="24"/>
        </w:rPr>
        <w:t>Lachovski</w:t>
      </w:r>
      <w:proofErr w:type="spellEnd"/>
    </w:p>
    <w:p w14:paraId="00000004" w14:textId="77777777" w:rsidR="0058255A" w:rsidRDefault="0058255A">
      <w:pPr>
        <w:pBdr>
          <w:top w:val="nil"/>
          <w:left w:val="nil"/>
          <w:bottom w:val="nil"/>
          <w:right w:val="nil"/>
          <w:between w:val="nil"/>
        </w:pBdr>
        <w:spacing w:before="280" w:after="0" w:line="240" w:lineRule="auto"/>
        <w:ind w:left="0" w:hanging="2"/>
        <w:jc w:val="right"/>
        <w:rPr>
          <w:rFonts w:ascii="Times New Roman" w:eastAsia="Times New Roman" w:hAnsi="Times New Roman" w:cs="Times New Roman"/>
          <w:color w:val="000000"/>
          <w:sz w:val="24"/>
          <w:szCs w:val="24"/>
        </w:rPr>
      </w:pPr>
    </w:p>
    <w:p w14:paraId="00000005" w14:textId="77777777" w:rsidR="0058255A" w:rsidRPr="00F36B80" w:rsidRDefault="00F36B80" w:rsidP="00F36B80">
      <w:pPr>
        <w:pBdr>
          <w:top w:val="nil"/>
          <w:left w:val="nil"/>
          <w:bottom w:val="nil"/>
          <w:right w:val="nil"/>
          <w:between w:val="nil"/>
        </w:pBdr>
        <w:spacing w:before="280" w:after="0" w:line="240" w:lineRule="auto"/>
        <w:ind w:leftChars="836" w:left="1841" w:right="544" w:hanging="2"/>
        <w:jc w:val="both"/>
        <w:rPr>
          <w:rFonts w:ascii="Times New Roman" w:eastAsia="Times New Roman" w:hAnsi="Times New Roman" w:cs="Times New Roman"/>
          <w:i/>
          <w:color w:val="000000"/>
          <w:sz w:val="24"/>
          <w:szCs w:val="24"/>
        </w:rPr>
      </w:pPr>
      <w:r w:rsidRPr="00F36B80">
        <w:rPr>
          <w:rFonts w:ascii="Times New Roman" w:eastAsia="Times New Roman" w:hAnsi="Times New Roman" w:cs="Times New Roman"/>
          <w:i/>
          <w:color w:val="0D0D0D"/>
        </w:rPr>
        <w:t>É a palavra que é vista como ponto de aplicação da criatividade, da liberdade na língua. Assim, são citados frequentemente como exemplo de criação: o lapso, a palavra-valise, o trocadilho, o neologismo, a metáfora, o jogo da poesia, e os jogos sobre o sign</w:t>
      </w:r>
      <w:r w:rsidRPr="00F36B80">
        <w:rPr>
          <w:rFonts w:ascii="Times New Roman" w:eastAsia="Times New Roman" w:hAnsi="Times New Roman" w:cs="Times New Roman"/>
          <w:i/>
          <w:color w:val="0D0D0D"/>
        </w:rPr>
        <w:t>ificante propriamente ditos, poéticos ou não: a rima, a inversão, o anagrama, as canções infantis, a forma de provérbios... (</w:t>
      </w:r>
      <w:proofErr w:type="spellStart"/>
      <w:r w:rsidRPr="00F36B80">
        <w:rPr>
          <w:rFonts w:ascii="Times New Roman" w:eastAsia="Times New Roman" w:hAnsi="Times New Roman" w:cs="Times New Roman"/>
          <w:i/>
          <w:color w:val="0D0D0D"/>
        </w:rPr>
        <w:t>Gadet</w:t>
      </w:r>
      <w:proofErr w:type="spellEnd"/>
      <w:r w:rsidRPr="00F36B80">
        <w:rPr>
          <w:rFonts w:ascii="Times New Roman" w:eastAsia="Times New Roman" w:hAnsi="Times New Roman" w:cs="Times New Roman"/>
          <w:i/>
          <w:color w:val="0D0D0D"/>
        </w:rPr>
        <w:t xml:space="preserve">, 202016)16, p. 187). </w:t>
      </w:r>
    </w:p>
    <w:p w14:paraId="00000006" w14:textId="77777777" w:rsidR="0058255A" w:rsidRPr="00F36B80" w:rsidRDefault="00F36B80" w:rsidP="00F36B80">
      <w:pPr>
        <w:pBdr>
          <w:top w:val="nil"/>
          <w:left w:val="nil"/>
          <w:bottom w:val="nil"/>
          <w:right w:val="nil"/>
          <w:between w:val="nil"/>
        </w:pBdr>
        <w:spacing w:before="280" w:after="0" w:line="240" w:lineRule="auto"/>
        <w:ind w:leftChars="836" w:left="1841" w:right="544" w:hanging="2"/>
        <w:jc w:val="both"/>
        <w:rPr>
          <w:rFonts w:ascii="Times New Roman" w:eastAsia="Times New Roman" w:hAnsi="Times New Roman" w:cs="Times New Roman"/>
          <w:i/>
          <w:color w:val="000000"/>
          <w:sz w:val="24"/>
          <w:szCs w:val="24"/>
        </w:rPr>
      </w:pPr>
      <w:r w:rsidRPr="00F36B80">
        <w:rPr>
          <w:rFonts w:ascii="Times New Roman" w:eastAsia="Times New Roman" w:hAnsi="Times New Roman" w:cs="Times New Roman"/>
          <w:i/>
          <w:color w:val="000000"/>
        </w:rPr>
        <w:t xml:space="preserve">Entendo por </w:t>
      </w:r>
      <w:r w:rsidRPr="00F36B80">
        <w:rPr>
          <w:rFonts w:ascii="Times New Roman" w:eastAsia="Times New Roman" w:hAnsi="Times New Roman" w:cs="Times New Roman"/>
          <w:i/>
          <w:color w:val="000000"/>
        </w:rPr>
        <w:t xml:space="preserve">literatura </w:t>
      </w:r>
      <w:r w:rsidRPr="00F36B80">
        <w:rPr>
          <w:rFonts w:ascii="Times New Roman" w:eastAsia="Times New Roman" w:hAnsi="Times New Roman" w:cs="Times New Roman"/>
          <w:i/>
          <w:color w:val="000000"/>
        </w:rPr>
        <w:t>não um corpo ou uma sequência de obras, nem mesmo um setor de comércio ou de ensino, mas o grafo complexo das pegadas de uma prática: a prática de escrever. Nela viso portanto, essencialmente, o texto, isto é, o tecido dos significantes que constitui a obr</w:t>
      </w:r>
      <w:r w:rsidRPr="00F36B80">
        <w:rPr>
          <w:rFonts w:ascii="Times New Roman" w:eastAsia="Times New Roman" w:hAnsi="Times New Roman" w:cs="Times New Roman"/>
          <w:i/>
          <w:color w:val="000000"/>
        </w:rPr>
        <w:t>a, porque o texto é o próprio aflorar da língua, e porque é no interior da língua que a língua deve ser combatida, desviada: não pela mensagem de que ela é o instrumento, mas pelo jogo das palavras de que ela é o teatro. (Barthes, 2007,16-17)</w:t>
      </w:r>
    </w:p>
    <w:p w14:paraId="00000007" w14:textId="77777777" w:rsidR="0058255A" w:rsidRDefault="0058255A">
      <w:pPr>
        <w:pBdr>
          <w:top w:val="nil"/>
          <w:left w:val="nil"/>
          <w:bottom w:val="nil"/>
          <w:right w:val="nil"/>
          <w:between w:val="nil"/>
        </w:pBdr>
        <w:spacing w:before="280" w:after="0" w:line="240" w:lineRule="auto"/>
        <w:ind w:left="0" w:right="544" w:hanging="2"/>
        <w:jc w:val="both"/>
        <w:rPr>
          <w:rFonts w:ascii="Times New Roman" w:eastAsia="Times New Roman" w:hAnsi="Times New Roman" w:cs="Times New Roman"/>
          <w:color w:val="000000"/>
          <w:sz w:val="24"/>
          <w:szCs w:val="24"/>
        </w:rPr>
      </w:pPr>
    </w:p>
    <w:p w14:paraId="00000008" w14:textId="77777777" w:rsidR="0058255A" w:rsidRDefault="00F36B80">
      <w:pPr>
        <w:pBdr>
          <w:top w:val="nil"/>
          <w:left w:val="nil"/>
          <w:bottom w:val="nil"/>
          <w:right w:val="nil"/>
          <w:between w:val="nil"/>
        </w:pBdr>
        <w:spacing w:before="280" w:after="0" w:line="360" w:lineRule="auto"/>
        <w:ind w:left="0" w:right="544"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Quan</w:t>
      </w:r>
      <w:r>
        <w:rPr>
          <w:rFonts w:ascii="Times New Roman" w:eastAsia="Times New Roman" w:hAnsi="Times New Roman" w:cs="Times New Roman"/>
          <w:color w:val="000000"/>
          <w:sz w:val="24"/>
          <w:szCs w:val="24"/>
        </w:rPr>
        <w:t xml:space="preserve">do se conclui uma edição de um periódico, especialmente, da Revista </w:t>
      </w:r>
      <w:r>
        <w:rPr>
          <w:rFonts w:ascii="Times New Roman" w:eastAsia="Times New Roman" w:hAnsi="Times New Roman" w:cs="Times New Roman"/>
          <w:i/>
          <w:color w:val="000000"/>
          <w:sz w:val="24"/>
          <w:szCs w:val="24"/>
        </w:rPr>
        <w:t>Interfaces</w:t>
      </w:r>
      <w:r>
        <w:rPr>
          <w:rFonts w:ascii="Times New Roman" w:eastAsia="Times New Roman" w:hAnsi="Times New Roman" w:cs="Times New Roman"/>
          <w:color w:val="000000"/>
          <w:sz w:val="24"/>
          <w:szCs w:val="24"/>
        </w:rPr>
        <w:t>, que tem como destaque a língua e a Literatura, e defende que no jogo da língua se constroem efeitos de sentidos, algumas questões são fundamentais. Com isso, destacamos a liber</w:t>
      </w:r>
      <w:r>
        <w:rPr>
          <w:rFonts w:ascii="Times New Roman" w:eastAsia="Times New Roman" w:hAnsi="Times New Roman" w:cs="Times New Roman"/>
          <w:color w:val="000000"/>
          <w:sz w:val="24"/>
          <w:szCs w:val="24"/>
        </w:rPr>
        <w:t>dade da língua, mas também colocamos em suspenso as tentativas de ‘mudar a língua’, trabalhando para que ela entre em ‘outra’ ordem, apagando os sujeitos que falam uma língua, vendo-a como sendo muito mais do que um funcionamento que impossibilita que o su</w:t>
      </w:r>
      <w:r>
        <w:rPr>
          <w:rFonts w:ascii="Times New Roman" w:eastAsia="Times New Roman" w:hAnsi="Times New Roman" w:cs="Times New Roman"/>
          <w:color w:val="000000"/>
          <w:sz w:val="24"/>
          <w:szCs w:val="24"/>
        </w:rPr>
        <w:t>jeito se comunique ou que não se comunique.</w:t>
      </w:r>
    </w:p>
    <w:p w14:paraId="00000009" w14:textId="77777777" w:rsidR="0058255A" w:rsidRDefault="00F36B80">
      <w:pPr>
        <w:pBdr>
          <w:top w:val="nil"/>
          <w:left w:val="nil"/>
          <w:bottom w:val="nil"/>
          <w:right w:val="nil"/>
          <w:between w:val="nil"/>
        </w:pBdr>
        <w:spacing w:before="280" w:after="0" w:line="360" w:lineRule="auto"/>
        <w:ind w:left="0" w:right="544"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Para nos ajudar a pensar sobre o funcionamento da língua </w:t>
      </w:r>
      <w:proofErr w:type="spellStart"/>
      <w:r>
        <w:rPr>
          <w:rFonts w:ascii="Times New Roman" w:eastAsia="Times New Roman" w:hAnsi="Times New Roman" w:cs="Times New Roman"/>
          <w:color w:val="000000"/>
          <w:sz w:val="24"/>
          <w:szCs w:val="24"/>
        </w:rPr>
        <w:t>Gadet</w:t>
      </w:r>
      <w:proofErr w:type="spellEnd"/>
      <w:r>
        <w:rPr>
          <w:rFonts w:ascii="Times New Roman" w:eastAsia="Times New Roman" w:hAnsi="Times New Roman" w:cs="Times New Roman"/>
          <w:color w:val="000000"/>
          <w:sz w:val="24"/>
          <w:szCs w:val="24"/>
        </w:rPr>
        <w:t xml:space="preserve"> (2016) e Barthes (2007), como a base que possibilita </w:t>
      </w:r>
      <w:proofErr w:type="spellStart"/>
      <w:r>
        <w:rPr>
          <w:rFonts w:ascii="Times New Roman" w:eastAsia="Times New Roman" w:hAnsi="Times New Roman" w:cs="Times New Roman"/>
          <w:color w:val="000000"/>
          <w:sz w:val="24"/>
          <w:szCs w:val="24"/>
        </w:rPr>
        <w:t>Gadet</w:t>
      </w:r>
      <w:proofErr w:type="spellEnd"/>
      <w:r>
        <w:rPr>
          <w:rFonts w:ascii="Times New Roman" w:eastAsia="Times New Roman" w:hAnsi="Times New Roman" w:cs="Times New Roman"/>
          <w:color w:val="000000"/>
          <w:sz w:val="24"/>
          <w:szCs w:val="24"/>
        </w:rPr>
        <w:t xml:space="preserve"> destacar a liberdade da língua e os modos como ela pode ser ‘subvertida’ pelo modo c</w:t>
      </w:r>
      <w:r>
        <w:rPr>
          <w:rFonts w:ascii="Times New Roman" w:eastAsia="Times New Roman" w:hAnsi="Times New Roman" w:cs="Times New Roman"/>
          <w:color w:val="000000"/>
          <w:sz w:val="24"/>
          <w:szCs w:val="24"/>
        </w:rPr>
        <w:t>omo é mobilizada por sujeitos. A pesquisadora se inspira em Barthes (2007), que em 1977 gestou o texto Aula, foi recebido no Colégio de França e inscreveu seus trabalhos em campos distintos, sempre pensando a Literatura como “[...] o complexo das pegadas d</w:t>
      </w:r>
      <w:r>
        <w:rPr>
          <w:rFonts w:ascii="Times New Roman" w:eastAsia="Times New Roman" w:hAnsi="Times New Roman" w:cs="Times New Roman"/>
          <w:color w:val="000000"/>
          <w:sz w:val="24"/>
          <w:szCs w:val="24"/>
        </w:rPr>
        <w:t xml:space="preserve">e uma prática: a prática de escrever. Grafo” (Barthes, 2007, p. 17). Com essas reflexões ele destaca que a língua combate, desvia e é subvertida, transformada. </w:t>
      </w:r>
    </w:p>
    <w:p w14:paraId="0000000A" w14:textId="6055534A" w:rsidR="0058255A" w:rsidRDefault="00F36B80">
      <w:pPr>
        <w:pBdr>
          <w:top w:val="nil"/>
          <w:left w:val="nil"/>
          <w:bottom w:val="nil"/>
          <w:right w:val="nil"/>
          <w:between w:val="nil"/>
        </w:pBdr>
        <w:spacing w:before="280" w:after="0" w:line="360" w:lineRule="auto"/>
        <w:ind w:left="0" w:right="544"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Em um periódico o editor, os avaliadores, enfim a equipe toda vivencia esse trabalho da l</w:t>
      </w:r>
      <w:r>
        <w:rPr>
          <w:rFonts w:ascii="Times New Roman" w:eastAsia="Times New Roman" w:hAnsi="Times New Roman" w:cs="Times New Roman"/>
          <w:color w:val="000000"/>
          <w:sz w:val="24"/>
          <w:szCs w:val="24"/>
        </w:rPr>
        <w:t>íngua, fazendo sentido pelo que vem da história, mas antes de tudo das relações que se estabelecem e instauram efeitos de sentidos. Os artigos da presente edição constituem a relação entre os diferentes modos de “ser” e de “fazer” a língua, nas práticas de</w:t>
      </w:r>
      <w:r>
        <w:rPr>
          <w:rFonts w:ascii="Times New Roman" w:eastAsia="Times New Roman" w:hAnsi="Times New Roman" w:cs="Times New Roman"/>
          <w:color w:val="000000"/>
          <w:sz w:val="24"/>
          <w:szCs w:val="24"/>
        </w:rPr>
        <w:t xml:space="preserve"> escrita e que sinaliza para sujeitos, no plural mesmo - são escritas tecidas, e transformadas, sob a forma da autoria. </w:t>
      </w:r>
    </w:p>
    <w:p w14:paraId="44692F19" w14:textId="77777777" w:rsidR="00F36B80" w:rsidRDefault="00F36B80">
      <w:pPr>
        <w:pBdr>
          <w:top w:val="nil"/>
          <w:left w:val="nil"/>
          <w:bottom w:val="nil"/>
          <w:right w:val="nil"/>
          <w:between w:val="nil"/>
        </w:pBdr>
        <w:spacing w:before="280" w:after="0" w:line="360" w:lineRule="auto"/>
        <w:ind w:left="0" w:right="544" w:hanging="2"/>
        <w:jc w:val="both"/>
        <w:rPr>
          <w:rFonts w:ascii="Times New Roman" w:eastAsia="Times New Roman" w:hAnsi="Times New Roman" w:cs="Times New Roman"/>
          <w:color w:val="000000"/>
          <w:sz w:val="24"/>
          <w:szCs w:val="24"/>
        </w:rPr>
      </w:pPr>
    </w:p>
    <w:p w14:paraId="0000000B" w14:textId="58B3D003" w:rsidR="0058255A" w:rsidRDefault="00F36B80">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sz w:val="24"/>
          <w:szCs w:val="24"/>
        </w:rPr>
      </w:pPr>
      <w:bookmarkStart w:id="0" w:name="_heading=h.gjdgxs" w:colFirst="0" w:colLast="0"/>
      <w:bookmarkEnd w:id="0"/>
      <w:r>
        <w:rPr>
          <w:rFonts w:ascii="Times New Roman" w:eastAsia="Times New Roman" w:hAnsi="Times New Roman" w:cs="Times New Roman"/>
          <w:color w:val="000000"/>
          <w:sz w:val="24"/>
          <w:szCs w:val="24"/>
        </w:rPr>
        <w:lastRenderedPageBreak/>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 xml:space="preserve">Abrindo a edição, Ederson da Paixão (UENP) e, Patrícia Cristina de Oliveira Duarte (UEL), em </w:t>
      </w:r>
      <w:r>
        <w:rPr>
          <w:rFonts w:ascii="Times New Roman" w:eastAsia="Times New Roman" w:hAnsi="Times New Roman" w:cs="Times New Roman"/>
          <w:i/>
          <w:color w:val="000000"/>
          <w:sz w:val="24"/>
          <w:szCs w:val="24"/>
        </w:rPr>
        <w:t>O ensino de literatura e o papel do profes</w:t>
      </w:r>
      <w:r>
        <w:rPr>
          <w:rFonts w:ascii="Times New Roman" w:eastAsia="Times New Roman" w:hAnsi="Times New Roman" w:cs="Times New Roman"/>
          <w:i/>
          <w:color w:val="000000"/>
          <w:sz w:val="24"/>
          <w:szCs w:val="24"/>
        </w:rPr>
        <w:t xml:space="preserve">sor-leitor: considerações para os anos iniciais do ensino fundamental </w:t>
      </w:r>
      <w:r>
        <w:rPr>
          <w:rFonts w:ascii="Times New Roman" w:eastAsia="Times New Roman" w:hAnsi="Times New Roman" w:cs="Times New Roman"/>
          <w:color w:val="000000"/>
          <w:sz w:val="24"/>
          <w:szCs w:val="24"/>
        </w:rPr>
        <w:t>discorrem</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sobre as contribuições do ensino de literatura para a formação do leitor literário na Educação Básica, de modo especial, nos Anos Iniciais do Ensino Fundamental. Para os autore</w:t>
      </w:r>
      <w:r>
        <w:rPr>
          <w:rFonts w:ascii="Times New Roman" w:eastAsia="Times New Roman" w:hAnsi="Times New Roman" w:cs="Times New Roman"/>
          <w:color w:val="000000"/>
          <w:sz w:val="24"/>
          <w:szCs w:val="24"/>
        </w:rPr>
        <w:t>s, a leitura possibilita aos estudantes o descobrimento de novos universos e contextos, possibilitando, assim, a ampliação de seu repertório linguístico, tornando-os mais criativos e compreensivos diante do meio em que estão inseridos. Logo, defendem a nec</w:t>
      </w:r>
      <w:r>
        <w:rPr>
          <w:rFonts w:ascii="Times New Roman" w:eastAsia="Times New Roman" w:hAnsi="Times New Roman" w:cs="Times New Roman"/>
          <w:color w:val="000000"/>
          <w:sz w:val="24"/>
          <w:szCs w:val="24"/>
        </w:rPr>
        <w:t xml:space="preserve">essidade de uma reflexão acerca de como ocorre o processo de ensino-aprendizagem da leitura literária no contexto escolar.  </w:t>
      </w:r>
    </w:p>
    <w:p w14:paraId="0000000C" w14:textId="025296DD" w:rsidR="0058255A" w:rsidRDefault="00F36B80">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 xml:space="preserve">Vania Cristina </w:t>
      </w:r>
      <w:proofErr w:type="spellStart"/>
      <w:r>
        <w:rPr>
          <w:rFonts w:ascii="Times New Roman" w:eastAsia="Times New Roman" w:hAnsi="Times New Roman" w:cs="Times New Roman"/>
          <w:color w:val="000000"/>
          <w:sz w:val="24"/>
          <w:szCs w:val="24"/>
        </w:rPr>
        <w:t>Pauluk</w:t>
      </w:r>
      <w:proofErr w:type="spellEnd"/>
      <w:r>
        <w:rPr>
          <w:rFonts w:ascii="Times New Roman" w:eastAsia="Times New Roman" w:hAnsi="Times New Roman" w:cs="Times New Roman"/>
          <w:color w:val="000000"/>
          <w:sz w:val="24"/>
          <w:szCs w:val="24"/>
        </w:rPr>
        <w:t xml:space="preserve"> (UPGE), no artigo intitulado </w:t>
      </w:r>
      <w:proofErr w:type="spellStart"/>
      <w:r>
        <w:rPr>
          <w:rFonts w:ascii="Times New Roman" w:eastAsia="Times New Roman" w:hAnsi="Times New Roman" w:cs="Times New Roman"/>
          <w:i/>
          <w:color w:val="000000"/>
          <w:sz w:val="24"/>
          <w:szCs w:val="24"/>
        </w:rPr>
        <w:t>Socioeducação</w:t>
      </w:r>
      <w:proofErr w:type="spellEnd"/>
      <w:r>
        <w:rPr>
          <w:rFonts w:ascii="Times New Roman" w:eastAsia="Times New Roman" w:hAnsi="Times New Roman" w:cs="Times New Roman"/>
          <w:i/>
          <w:color w:val="000000"/>
          <w:sz w:val="24"/>
          <w:szCs w:val="24"/>
        </w:rPr>
        <w:t xml:space="preserve"> e poesia: produções de prosa e verso na privação de liberdade, </w:t>
      </w:r>
      <w:r>
        <w:rPr>
          <w:rFonts w:ascii="Times New Roman" w:eastAsia="Times New Roman" w:hAnsi="Times New Roman" w:cs="Times New Roman"/>
          <w:color w:val="000000"/>
          <w:sz w:val="24"/>
          <w:szCs w:val="24"/>
        </w:rPr>
        <w:t xml:space="preserve">relata a experiência do projeto de poesia, realizado no Centro de </w:t>
      </w:r>
      <w:proofErr w:type="spellStart"/>
      <w:r>
        <w:rPr>
          <w:rFonts w:ascii="Times New Roman" w:eastAsia="Times New Roman" w:hAnsi="Times New Roman" w:cs="Times New Roman"/>
          <w:color w:val="000000"/>
          <w:sz w:val="24"/>
          <w:szCs w:val="24"/>
        </w:rPr>
        <w:t>Socioeducação</w:t>
      </w:r>
      <w:proofErr w:type="spellEnd"/>
      <w:r>
        <w:rPr>
          <w:rFonts w:ascii="Times New Roman" w:eastAsia="Times New Roman" w:hAnsi="Times New Roman" w:cs="Times New Roman"/>
          <w:color w:val="000000"/>
          <w:sz w:val="24"/>
          <w:szCs w:val="24"/>
        </w:rPr>
        <w:t xml:space="preserve"> de Ponta Grossa /PR. Destacando os objetivos do projeto, a autora aponta que o mesmo foi realizado </w:t>
      </w:r>
      <w:r>
        <w:rPr>
          <w:rFonts w:ascii="Times New Roman" w:eastAsia="Times New Roman" w:hAnsi="Times New Roman" w:cs="Times New Roman"/>
          <w:color w:val="000000"/>
          <w:sz w:val="24"/>
          <w:szCs w:val="24"/>
        </w:rPr>
        <w:t>com adolescentes que cumpriam a medida socioeducativa de internação, no formato de oficinas, nas quais se discuti</w:t>
      </w:r>
      <w:r>
        <w:rPr>
          <w:rFonts w:ascii="Times New Roman" w:eastAsia="Times New Roman" w:hAnsi="Times New Roman" w:cs="Times New Roman"/>
          <w:sz w:val="24"/>
          <w:szCs w:val="24"/>
        </w:rPr>
        <w:t xml:space="preserve">a </w:t>
      </w:r>
      <w:r>
        <w:rPr>
          <w:rFonts w:ascii="Times New Roman" w:eastAsia="Times New Roman" w:hAnsi="Times New Roman" w:cs="Times New Roman"/>
          <w:color w:val="000000"/>
          <w:sz w:val="24"/>
          <w:szCs w:val="24"/>
        </w:rPr>
        <w:t xml:space="preserve">e se interpretavam poesias de autores nacionais. </w:t>
      </w:r>
      <w:r>
        <w:rPr>
          <w:rFonts w:ascii="Times New Roman" w:eastAsia="Times New Roman" w:hAnsi="Times New Roman" w:cs="Times New Roman"/>
          <w:sz w:val="24"/>
          <w:szCs w:val="24"/>
        </w:rPr>
        <w:t>A</w:t>
      </w:r>
      <w:r>
        <w:rPr>
          <w:rFonts w:ascii="Times New Roman" w:eastAsia="Times New Roman" w:hAnsi="Times New Roman" w:cs="Times New Roman"/>
          <w:color w:val="000000"/>
          <w:sz w:val="24"/>
          <w:szCs w:val="24"/>
        </w:rPr>
        <w:t>pós o desenvolvimento das atividades, de acordo com a autora, os jovens aderiram positivame</w:t>
      </w:r>
      <w:r>
        <w:rPr>
          <w:rFonts w:ascii="Times New Roman" w:eastAsia="Times New Roman" w:hAnsi="Times New Roman" w:cs="Times New Roman"/>
          <w:color w:val="000000"/>
          <w:sz w:val="24"/>
          <w:szCs w:val="24"/>
        </w:rPr>
        <w:t>nte ao projeto, melhorando seu repertório linguístico e a linguagem oral e escrita e vivenciaram a função estética da literatura.</w:t>
      </w:r>
    </w:p>
    <w:p w14:paraId="0000000D" w14:textId="7DC3D980" w:rsidR="0058255A" w:rsidRDefault="00F36B80">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 xml:space="preserve">Em </w:t>
      </w:r>
      <w:r>
        <w:rPr>
          <w:rFonts w:ascii="Times New Roman" w:eastAsia="Times New Roman" w:hAnsi="Times New Roman" w:cs="Times New Roman"/>
          <w:i/>
          <w:color w:val="000000"/>
          <w:sz w:val="24"/>
          <w:szCs w:val="24"/>
        </w:rPr>
        <w:t xml:space="preserve">Das cartas às novas cartas portuguesas: estilo de época, modelo epistolar e movimentos semânticos, </w:t>
      </w:r>
      <w:r>
        <w:rPr>
          <w:rFonts w:ascii="Times New Roman" w:eastAsia="Times New Roman" w:hAnsi="Times New Roman" w:cs="Times New Roman"/>
          <w:color w:val="000000"/>
          <w:sz w:val="24"/>
          <w:szCs w:val="24"/>
        </w:rPr>
        <w:t xml:space="preserve">Priscila </w:t>
      </w:r>
      <w:proofErr w:type="spellStart"/>
      <w:r>
        <w:rPr>
          <w:rFonts w:ascii="Times New Roman" w:eastAsia="Times New Roman" w:hAnsi="Times New Roman" w:cs="Times New Roman"/>
          <w:color w:val="000000"/>
          <w:sz w:val="24"/>
          <w:szCs w:val="24"/>
        </w:rPr>
        <w:t>Finger</w:t>
      </w:r>
      <w:proofErr w:type="spellEnd"/>
      <w:r>
        <w:rPr>
          <w:rFonts w:ascii="Times New Roman" w:eastAsia="Times New Roman" w:hAnsi="Times New Roman" w:cs="Times New Roman"/>
          <w:color w:val="000000"/>
          <w:sz w:val="24"/>
          <w:szCs w:val="24"/>
        </w:rPr>
        <w:t xml:space="preserve"> do Prado</w:t>
      </w:r>
      <w:r>
        <w:rPr>
          <w:rFonts w:ascii="Times New Roman" w:eastAsia="Times New Roman" w:hAnsi="Times New Roman" w:cs="Times New Roman"/>
          <w:color w:val="000000"/>
          <w:sz w:val="24"/>
          <w:szCs w:val="24"/>
        </w:rPr>
        <w:t xml:space="preserve"> (UFSC) apresenta como as Novas Cartas Portuguesas, de Maria Isabel </w:t>
      </w:r>
      <w:proofErr w:type="spellStart"/>
      <w:r>
        <w:rPr>
          <w:rFonts w:ascii="Times New Roman" w:eastAsia="Times New Roman" w:hAnsi="Times New Roman" w:cs="Times New Roman"/>
          <w:color w:val="000000"/>
          <w:sz w:val="24"/>
          <w:szCs w:val="24"/>
        </w:rPr>
        <w:t>Barreno</w:t>
      </w:r>
      <w:proofErr w:type="spellEnd"/>
      <w:r>
        <w:rPr>
          <w:rFonts w:ascii="Times New Roman" w:eastAsia="Times New Roman" w:hAnsi="Times New Roman" w:cs="Times New Roman"/>
          <w:color w:val="000000"/>
          <w:sz w:val="24"/>
          <w:szCs w:val="24"/>
        </w:rPr>
        <w:t>, Maria Teresa Horta e Maria Velho da Costa, dividem com as Cartas portuguesas, de Mariana Alcoforado, mais do que o título. Para a autora, apesar da distância temporal entre as pub</w:t>
      </w:r>
      <w:r>
        <w:rPr>
          <w:rFonts w:ascii="Times New Roman" w:eastAsia="Times New Roman" w:hAnsi="Times New Roman" w:cs="Times New Roman"/>
          <w:color w:val="000000"/>
          <w:sz w:val="24"/>
          <w:szCs w:val="24"/>
        </w:rPr>
        <w:t>licações, o texto contemporâneo elege do texto barroco temas para atualizações literárias. Mariana Alcoforado é escolhida como um mote e os movimentos semânticos do texto seiscentista são retomados por um novo viés. Objetivando apresentar as relações entre</w:t>
      </w:r>
      <w:r>
        <w:rPr>
          <w:rFonts w:ascii="Times New Roman" w:eastAsia="Times New Roman" w:hAnsi="Times New Roman" w:cs="Times New Roman"/>
          <w:color w:val="000000"/>
          <w:sz w:val="24"/>
          <w:szCs w:val="24"/>
        </w:rPr>
        <w:t xml:space="preserve"> o texto das Cartas portuguesas e das Novas Cartas Portuguesas com seus respectivos estilos de época, modelos epistolares e movimentos semânticos, a autora levanta a hipótese de que há uma mudança de direcionamento de um texto para o outro, que vai do indi</w:t>
      </w:r>
      <w:r>
        <w:rPr>
          <w:rFonts w:ascii="Times New Roman" w:eastAsia="Times New Roman" w:hAnsi="Times New Roman" w:cs="Times New Roman"/>
          <w:color w:val="000000"/>
          <w:sz w:val="24"/>
          <w:szCs w:val="24"/>
        </w:rPr>
        <w:t xml:space="preserve">vidual para o coletivo. </w:t>
      </w:r>
    </w:p>
    <w:p w14:paraId="0000000E" w14:textId="7B225110" w:rsidR="0058255A" w:rsidRDefault="00F36B80">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 xml:space="preserve">Agnaldo Almeida de Jesus (UFMG), no texto, </w:t>
      </w:r>
      <w:r>
        <w:rPr>
          <w:rFonts w:ascii="Times New Roman" w:eastAsia="Times New Roman" w:hAnsi="Times New Roman" w:cs="Times New Roman"/>
          <w:i/>
          <w:color w:val="000000"/>
          <w:sz w:val="24"/>
          <w:szCs w:val="24"/>
        </w:rPr>
        <w:t xml:space="preserve">Da interdiscursividade e intertextualidade em/entre Bakhtin, </w:t>
      </w:r>
      <w:proofErr w:type="spellStart"/>
      <w:r>
        <w:rPr>
          <w:rFonts w:ascii="Times New Roman" w:eastAsia="Times New Roman" w:hAnsi="Times New Roman" w:cs="Times New Roman"/>
          <w:i/>
          <w:color w:val="000000"/>
          <w:sz w:val="24"/>
          <w:szCs w:val="24"/>
        </w:rPr>
        <w:t>Marcuschi</w:t>
      </w:r>
      <w:proofErr w:type="spellEnd"/>
      <w:r>
        <w:rPr>
          <w:rFonts w:ascii="Times New Roman" w:eastAsia="Times New Roman" w:hAnsi="Times New Roman" w:cs="Times New Roman"/>
          <w:i/>
          <w:color w:val="000000"/>
          <w:sz w:val="24"/>
          <w:szCs w:val="24"/>
        </w:rPr>
        <w:t xml:space="preserve"> e a base nacional comum curricular, defende que </w:t>
      </w:r>
      <w:r>
        <w:rPr>
          <w:rFonts w:ascii="Times New Roman" w:eastAsia="Times New Roman" w:hAnsi="Times New Roman" w:cs="Times New Roman"/>
          <w:color w:val="000000"/>
          <w:sz w:val="24"/>
          <w:szCs w:val="24"/>
        </w:rPr>
        <w:t xml:space="preserve">a </w:t>
      </w:r>
      <w:r>
        <w:rPr>
          <w:rFonts w:ascii="Times New Roman" w:eastAsia="Times New Roman" w:hAnsi="Times New Roman" w:cs="Times New Roman"/>
          <w:i/>
          <w:color w:val="000000"/>
          <w:sz w:val="24"/>
          <w:szCs w:val="24"/>
        </w:rPr>
        <w:t>Base Nacional Comum Curricular</w:t>
      </w:r>
      <w:r>
        <w:rPr>
          <w:rFonts w:ascii="Times New Roman" w:eastAsia="Times New Roman" w:hAnsi="Times New Roman" w:cs="Times New Roman"/>
          <w:color w:val="000000"/>
          <w:sz w:val="24"/>
          <w:szCs w:val="24"/>
        </w:rPr>
        <w:t xml:space="preserve"> (BNCC), homologada em 2018, traça o </w:t>
      </w:r>
      <w:r>
        <w:rPr>
          <w:rFonts w:ascii="Times New Roman" w:eastAsia="Times New Roman" w:hAnsi="Times New Roman" w:cs="Times New Roman"/>
          <w:color w:val="000000"/>
          <w:sz w:val="24"/>
          <w:szCs w:val="24"/>
        </w:rPr>
        <w:t xml:space="preserve">conjunto de “aprendizagens essenciais” que devem ser desenvolvidas pelos estudantes da/na Educação Básica brasileira. Assim, a partir de um gesto de leitura/interpretação da BNCC à luz de dois textos teóricos de autoria de Mikhail Bakhtin e Luiz Antônio </w:t>
      </w:r>
      <w:proofErr w:type="spellStart"/>
      <w:r>
        <w:rPr>
          <w:rFonts w:ascii="Times New Roman" w:eastAsia="Times New Roman" w:hAnsi="Times New Roman" w:cs="Times New Roman"/>
          <w:color w:val="000000"/>
          <w:sz w:val="24"/>
          <w:szCs w:val="24"/>
        </w:rPr>
        <w:t>Ma</w:t>
      </w:r>
      <w:r>
        <w:rPr>
          <w:rFonts w:ascii="Times New Roman" w:eastAsia="Times New Roman" w:hAnsi="Times New Roman" w:cs="Times New Roman"/>
          <w:color w:val="000000"/>
          <w:sz w:val="24"/>
          <w:szCs w:val="24"/>
        </w:rPr>
        <w:t>rcuschi</w:t>
      </w:r>
      <w:proofErr w:type="spellEnd"/>
      <w:r>
        <w:rPr>
          <w:rFonts w:ascii="Times New Roman" w:eastAsia="Times New Roman" w:hAnsi="Times New Roman" w:cs="Times New Roman"/>
          <w:color w:val="000000"/>
          <w:sz w:val="24"/>
          <w:szCs w:val="24"/>
        </w:rPr>
        <w:t>, retoma a noção de gênero do discurso, a distinção entre palavra e oração (unidades da língua) de enunciado (unidade da comunicação discursiva) e entre gêneros primários e secundários, além disso, pontua as definições de gênero textual, tipo textua</w:t>
      </w:r>
      <w:r>
        <w:rPr>
          <w:rFonts w:ascii="Times New Roman" w:eastAsia="Times New Roman" w:hAnsi="Times New Roman" w:cs="Times New Roman"/>
          <w:color w:val="000000"/>
          <w:sz w:val="24"/>
          <w:szCs w:val="24"/>
        </w:rPr>
        <w:t xml:space="preserve">l, domínio discursivo, suporte e </w:t>
      </w:r>
      <w:proofErr w:type="spellStart"/>
      <w:r>
        <w:rPr>
          <w:rFonts w:ascii="Times New Roman" w:eastAsia="Times New Roman" w:hAnsi="Times New Roman" w:cs="Times New Roman"/>
          <w:color w:val="000000"/>
          <w:sz w:val="24"/>
          <w:szCs w:val="24"/>
        </w:rPr>
        <w:t>intergenericidade</w:t>
      </w:r>
      <w:proofErr w:type="spellEnd"/>
      <w:r>
        <w:rPr>
          <w:rFonts w:ascii="Times New Roman" w:eastAsia="Times New Roman" w:hAnsi="Times New Roman" w:cs="Times New Roman"/>
          <w:color w:val="000000"/>
          <w:sz w:val="24"/>
          <w:szCs w:val="24"/>
        </w:rPr>
        <w:t>, realizando um entrelaçamento dos textos teóricos e a BNCC, evidenciando as relações interdiscursivas e intertextuais produzidas.</w:t>
      </w:r>
    </w:p>
    <w:p w14:paraId="0000000F" w14:textId="2B79B2EC" w:rsidR="0058255A" w:rsidRDefault="00F36B80">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 xml:space="preserve">Já em </w:t>
      </w:r>
      <w:r>
        <w:rPr>
          <w:rFonts w:ascii="Times New Roman" w:eastAsia="Times New Roman" w:hAnsi="Times New Roman" w:cs="Times New Roman"/>
          <w:i/>
          <w:color w:val="000000"/>
          <w:sz w:val="24"/>
          <w:szCs w:val="24"/>
        </w:rPr>
        <w:t xml:space="preserve">Leituras e escritas de vidas negras em A Resposta: reflexões pedagógicas sobre a </w:t>
      </w:r>
      <w:proofErr w:type="spellStart"/>
      <w:r>
        <w:rPr>
          <w:rFonts w:ascii="Times New Roman" w:eastAsia="Times New Roman" w:hAnsi="Times New Roman" w:cs="Times New Roman"/>
          <w:i/>
          <w:color w:val="000000"/>
          <w:sz w:val="24"/>
          <w:szCs w:val="24"/>
        </w:rPr>
        <w:t>metaficção</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Késia</w:t>
      </w:r>
      <w:proofErr w:type="spellEnd"/>
      <w:r>
        <w:rPr>
          <w:rFonts w:ascii="Times New Roman" w:eastAsia="Times New Roman" w:hAnsi="Times New Roman" w:cs="Times New Roman"/>
          <w:i/>
          <w:color w:val="000000"/>
          <w:sz w:val="24"/>
          <w:szCs w:val="24"/>
        </w:rPr>
        <w:t xml:space="preserve"> Viviane da Mota (UFPB)e </w:t>
      </w:r>
      <w:proofErr w:type="spellStart"/>
      <w:r>
        <w:rPr>
          <w:rFonts w:ascii="Times New Roman" w:eastAsia="Times New Roman" w:hAnsi="Times New Roman" w:cs="Times New Roman"/>
          <w:i/>
          <w:color w:val="000000"/>
          <w:sz w:val="24"/>
          <w:szCs w:val="24"/>
        </w:rPr>
        <w:t>Genilda</w:t>
      </w:r>
      <w:proofErr w:type="spellEnd"/>
      <w:r>
        <w:rPr>
          <w:rFonts w:ascii="Times New Roman" w:eastAsia="Times New Roman" w:hAnsi="Times New Roman" w:cs="Times New Roman"/>
          <w:i/>
          <w:color w:val="000000"/>
          <w:sz w:val="24"/>
          <w:szCs w:val="24"/>
        </w:rPr>
        <w:t xml:space="preserve"> </w:t>
      </w:r>
      <w:proofErr w:type="spellStart"/>
      <w:r>
        <w:rPr>
          <w:rFonts w:ascii="Times New Roman" w:eastAsia="Times New Roman" w:hAnsi="Times New Roman" w:cs="Times New Roman"/>
          <w:i/>
          <w:color w:val="000000"/>
          <w:sz w:val="24"/>
          <w:szCs w:val="24"/>
        </w:rPr>
        <w:t>Azêredo</w:t>
      </w:r>
      <w:proofErr w:type="spellEnd"/>
      <w:r>
        <w:rPr>
          <w:rFonts w:ascii="Times New Roman" w:eastAsia="Times New Roman" w:hAnsi="Times New Roman" w:cs="Times New Roman"/>
          <w:i/>
          <w:color w:val="000000"/>
          <w:sz w:val="24"/>
          <w:szCs w:val="24"/>
        </w:rPr>
        <w:t xml:space="preserve"> (UFPB</w:t>
      </w:r>
      <w:r>
        <w:rPr>
          <w:rFonts w:ascii="Times New Roman" w:eastAsia="Times New Roman" w:hAnsi="Times New Roman" w:cs="Times New Roman"/>
          <w:color w:val="000000"/>
          <w:sz w:val="24"/>
          <w:szCs w:val="24"/>
        </w:rPr>
        <w:t>), recortam uma pesquisa maior sobre a relevância de se introduzir, no Ensino Fundamental, e situam o conceito d</w:t>
      </w:r>
      <w:r>
        <w:rPr>
          <w:rFonts w:ascii="Times New Roman" w:eastAsia="Times New Roman" w:hAnsi="Times New Roman" w:cs="Times New Roman"/>
          <w:color w:val="000000"/>
          <w:sz w:val="24"/>
          <w:szCs w:val="24"/>
        </w:rPr>
        <w:t xml:space="preserve">e </w:t>
      </w:r>
      <w:proofErr w:type="spellStart"/>
      <w:r>
        <w:rPr>
          <w:rFonts w:ascii="Times New Roman" w:eastAsia="Times New Roman" w:hAnsi="Times New Roman" w:cs="Times New Roman"/>
          <w:color w:val="000000"/>
          <w:sz w:val="24"/>
          <w:szCs w:val="24"/>
        </w:rPr>
        <w:t>metaficção</w:t>
      </w:r>
      <w:proofErr w:type="spellEnd"/>
      <w:r>
        <w:rPr>
          <w:rFonts w:ascii="Times New Roman" w:eastAsia="Times New Roman" w:hAnsi="Times New Roman" w:cs="Times New Roman"/>
          <w:color w:val="000000"/>
          <w:sz w:val="24"/>
          <w:szCs w:val="24"/>
        </w:rPr>
        <w:t xml:space="preserve"> e suas estratégias de composição, sendo uma pesquisa que articula literatura, ensino e reflexões pedagógicas. As autoras elegem também como objeto de discussão o romance </w:t>
      </w:r>
      <w:r>
        <w:rPr>
          <w:rFonts w:ascii="Times New Roman" w:eastAsia="Times New Roman" w:hAnsi="Times New Roman" w:cs="Times New Roman"/>
          <w:i/>
          <w:color w:val="000000"/>
          <w:sz w:val="24"/>
          <w:szCs w:val="24"/>
        </w:rPr>
        <w:t>A Resposta</w:t>
      </w:r>
      <w:r>
        <w:rPr>
          <w:rFonts w:ascii="Times New Roman" w:eastAsia="Times New Roman" w:hAnsi="Times New Roman" w:cs="Times New Roman"/>
          <w:color w:val="000000"/>
          <w:sz w:val="24"/>
          <w:szCs w:val="24"/>
        </w:rPr>
        <w:t xml:space="preserve">, de </w:t>
      </w:r>
      <w:proofErr w:type="spellStart"/>
      <w:r>
        <w:rPr>
          <w:rFonts w:ascii="Times New Roman" w:eastAsia="Times New Roman" w:hAnsi="Times New Roman" w:cs="Times New Roman"/>
          <w:color w:val="000000"/>
          <w:sz w:val="24"/>
          <w:szCs w:val="24"/>
        </w:rPr>
        <w:t>Kathryn</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Stockett</w:t>
      </w:r>
      <w:proofErr w:type="spellEnd"/>
      <w:r>
        <w:rPr>
          <w:rFonts w:ascii="Times New Roman" w:eastAsia="Times New Roman" w:hAnsi="Times New Roman" w:cs="Times New Roman"/>
          <w:color w:val="000000"/>
          <w:sz w:val="24"/>
          <w:szCs w:val="24"/>
        </w:rPr>
        <w:t xml:space="preserve"> (2013), que alia o recurso da </w:t>
      </w:r>
      <w:proofErr w:type="spellStart"/>
      <w:r>
        <w:rPr>
          <w:rFonts w:ascii="Times New Roman" w:eastAsia="Times New Roman" w:hAnsi="Times New Roman" w:cs="Times New Roman"/>
          <w:color w:val="000000"/>
          <w:sz w:val="24"/>
          <w:szCs w:val="24"/>
        </w:rPr>
        <w:t>metaficção</w:t>
      </w:r>
      <w:proofErr w:type="spellEnd"/>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lastRenderedPageBreak/>
        <w:t xml:space="preserve">fenômeno em que a ficção se mostra </w:t>
      </w:r>
      <w:r>
        <w:rPr>
          <w:rFonts w:ascii="Times New Roman" w:eastAsia="Times New Roman" w:hAnsi="Times New Roman" w:cs="Times New Roman"/>
          <w:i/>
          <w:color w:val="000000"/>
          <w:sz w:val="24"/>
          <w:szCs w:val="24"/>
        </w:rPr>
        <w:t>como ficção</w:t>
      </w:r>
      <w:r>
        <w:rPr>
          <w:rFonts w:ascii="Times New Roman" w:eastAsia="Times New Roman" w:hAnsi="Times New Roman" w:cs="Times New Roman"/>
          <w:color w:val="000000"/>
          <w:sz w:val="24"/>
          <w:szCs w:val="24"/>
        </w:rPr>
        <w:t xml:space="preserve"> – a problemáticas ligadas, de um lado, a racismo, preconceito e opressão de mulheres negras; de outro, à possibilidade de aprendizagens relacionadas à liberdade, autonomia e competências ligadas à leitura e </w:t>
      </w:r>
      <w:r>
        <w:rPr>
          <w:rFonts w:ascii="Times New Roman" w:eastAsia="Times New Roman" w:hAnsi="Times New Roman" w:cs="Times New Roman"/>
          <w:color w:val="000000"/>
          <w:sz w:val="24"/>
          <w:szCs w:val="24"/>
        </w:rPr>
        <w:t xml:space="preserve">à escrita. Segundo as autoras, os resultados da pesquisa demonstram o potencial pedagógico da </w:t>
      </w:r>
      <w:proofErr w:type="spellStart"/>
      <w:r>
        <w:rPr>
          <w:rFonts w:ascii="Times New Roman" w:eastAsia="Times New Roman" w:hAnsi="Times New Roman" w:cs="Times New Roman"/>
          <w:color w:val="000000"/>
          <w:sz w:val="24"/>
          <w:szCs w:val="24"/>
        </w:rPr>
        <w:t>metaficção</w:t>
      </w:r>
      <w:proofErr w:type="spellEnd"/>
      <w:r>
        <w:rPr>
          <w:rFonts w:ascii="Times New Roman" w:eastAsia="Times New Roman" w:hAnsi="Times New Roman" w:cs="Times New Roman"/>
          <w:color w:val="000000"/>
          <w:sz w:val="24"/>
          <w:szCs w:val="24"/>
        </w:rPr>
        <w:t xml:space="preserve"> e suas políticas para o desenvolvimento de habilidades cognitivas, interpessoais e críticas.</w:t>
      </w:r>
    </w:p>
    <w:p w14:paraId="00000010" w14:textId="6C269D50" w:rsidR="0058255A" w:rsidRDefault="00F36B80">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 xml:space="preserve">Em </w:t>
      </w:r>
      <w:r>
        <w:rPr>
          <w:rFonts w:ascii="Times New Roman" w:eastAsia="Times New Roman" w:hAnsi="Times New Roman" w:cs="Times New Roman"/>
          <w:i/>
          <w:color w:val="000000"/>
          <w:sz w:val="24"/>
          <w:szCs w:val="24"/>
        </w:rPr>
        <w:t xml:space="preserve">Princípio da linearidade: conceito e desdobramentos na </w:t>
      </w:r>
      <w:r>
        <w:rPr>
          <w:rFonts w:ascii="Times New Roman" w:eastAsia="Times New Roman" w:hAnsi="Times New Roman" w:cs="Times New Roman"/>
          <w:i/>
          <w:color w:val="000000"/>
          <w:sz w:val="24"/>
          <w:szCs w:val="24"/>
        </w:rPr>
        <w:t>ciência linguística</w:t>
      </w:r>
      <w:r>
        <w:rPr>
          <w:rFonts w:ascii="Times New Roman" w:eastAsia="Times New Roman" w:hAnsi="Times New Roman" w:cs="Times New Roman"/>
          <w:color w:val="000000"/>
          <w:sz w:val="24"/>
          <w:szCs w:val="24"/>
        </w:rPr>
        <w:t xml:space="preserve">, de autoria de Suzana </w:t>
      </w:r>
      <w:proofErr w:type="spellStart"/>
      <w:r>
        <w:rPr>
          <w:rFonts w:ascii="Times New Roman" w:eastAsia="Times New Roman" w:hAnsi="Times New Roman" w:cs="Times New Roman"/>
          <w:color w:val="000000"/>
          <w:sz w:val="24"/>
          <w:szCs w:val="24"/>
        </w:rPr>
        <w:t>Linhati</w:t>
      </w:r>
      <w:proofErr w:type="spellEnd"/>
      <w:r>
        <w:rPr>
          <w:rFonts w:ascii="Times New Roman" w:eastAsia="Times New Roman" w:hAnsi="Times New Roman" w:cs="Times New Roman"/>
          <w:color w:val="000000"/>
          <w:sz w:val="24"/>
          <w:szCs w:val="24"/>
        </w:rPr>
        <w:t xml:space="preserve"> (UFSM) e Caroline Araújo </w:t>
      </w:r>
      <w:proofErr w:type="spellStart"/>
      <w:r>
        <w:rPr>
          <w:rFonts w:ascii="Times New Roman" w:eastAsia="Times New Roman" w:hAnsi="Times New Roman" w:cs="Times New Roman"/>
          <w:color w:val="000000"/>
          <w:sz w:val="24"/>
          <w:szCs w:val="24"/>
        </w:rPr>
        <w:t>Larrañaga</w:t>
      </w:r>
      <w:proofErr w:type="spellEnd"/>
      <w:r>
        <w:rPr>
          <w:rFonts w:ascii="Times New Roman" w:eastAsia="Times New Roman" w:hAnsi="Times New Roman" w:cs="Times New Roman"/>
          <w:color w:val="000000"/>
          <w:sz w:val="24"/>
          <w:szCs w:val="24"/>
        </w:rPr>
        <w:t xml:space="preserve"> de Matos (UFSM), apresenta uma reflexão sobre o princípio da linearidade, pensando o lugar investido a esse princípio na linguística saussuriana e de comparar como este pr</w:t>
      </w:r>
      <w:r>
        <w:rPr>
          <w:rFonts w:ascii="Times New Roman" w:eastAsia="Times New Roman" w:hAnsi="Times New Roman" w:cs="Times New Roman"/>
          <w:color w:val="000000"/>
          <w:sz w:val="24"/>
          <w:szCs w:val="24"/>
        </w:rPr>
        <w:t>incípio é abordado na perspectiva de Jakobson (1896-1982). Por meio de uma pesquisa bibliográfica (Paiva, 2019), as autoras fazem suas considerações a respeito do caráter linear do signo linguístico a partir dos pressupostos de Saussure (1945), Jakobson (1</w:t>
      </w:r>
      <w:r>
        <w:rPr>
          <w:rFonts w:ascii="Times New Roman" w:eastAsia="Times New Roman" w:hAnsi="Times New Roman" w:cs="Times New Roman"/>
          <w:color w:val="000000"/>
          <w:sz w:val="24"/>
          <w:szCs w:val="24"/>
        </w:rPr>
        <w:t xml:space="preserve">975), Jakobson e Halle (1967), </w:t>
      </w:r>
      <w:proofErr w:type="spellStart"/>
      <w:r>
        <w:rPr>
          <w:rFonts w:ascii="Times New Roman" w:eastAsia="Times New Roman" w:hAnsi="Times New Roman" w:cs="Times New Roman"/>
          <w:color w:val="000000"/>
          <w:sz w:val="24"/>
          <w:szCs w:val="24"/>
        </w:rPr>
        <w:t>Testenoire</w:t>
      </w:r>
      <w:proofErr w:type="spellEnd"/>
      <w:r>
        <w:rPr>
          <w:rFonts w:ascii="Times New Roman" w:eastAsia="Times New Roman" w:hAnsi="Times New Roman" w:cs="Times New Roman"/>
          <w:color w:val="000000"/>
          <w:sz w:val="24"/>
          <w:szCs w:val="24"/>
        </w:rPr>
        <w:t xml:space="preserve"> (2017) e Silva Filho (2020), a fim de encontrar semelhanças e diferenças entre os linguistas. </w:t>
      </w:r>
    </w:p>
    <w:p w14:paraId="00000011" w14:textId="37FEAFEF" w:rsidR="0058255A" w:rsidRDefault="00F36B80">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proofErr w:type="spellStart"/>
      <w:r>
        <w:rPr>
          <w:rFonts w:ascii="Times New Roman" w:eastAsia="Times New Roman" w:hAnsi="Times New Roman" w:cs="Times New Roman"/>
          <w:color w:val="000000"/>
          <w:sz w:val="24"/>
          <w:szCs w:val="24"/>
        </w:rPr>
        <w:t>Nelci</w:t>
      </w:r>
      <w:proofErr w:type="spellEnd"/>
      <w:r>
        <w:rPr>
          <w:rFonts w:ascii="Times New Roman" w:eastAsia="Times New Roman" w:hAnsi="Times New Roman" w:cs="Times New Roman"/>
          <w:color w:val="000000"/>
          <w:sz w:val="24"/>
          <w:szCs w:val="24"/>
        </w:rPr>
        <w:t xml:space="preserve"> Alves Coelho Silvestre (UEM) e Viviane do Nascimento </w:t>
      </w:r>
      <w:proofErr w:type="spellStart"/>
      <w:r>
        <w:rPr>
          <w:rFonts w:ascii="Times New Roman" w:eastAsia="Times New Roman" w:hAnsi="Times New Roman" w:cs="Times New Roman"/>
          <w:color w:val="000000"/>
          <w:sz w:val="24"/>
          <w:szCs w:val="24"/>
        </w:rPr>
        <w:t>Voltarelli</w:t>
      </w:r>
      <w:proofErr w:type="spellEnd"/>
      <w:r>
        <w:rPr>
          <w:rFonts w:ascii="Times New Roman" w:eastAsia="Times New Roman" w:hAnsi="Times New Roman" w:cs="Times New Roman"/>
          <w:color w:val="000000"/>
          <w:sz w:val="24"/>
          <w:szCs w:val="24"/>
        </w:rPr>
        <w:t xml:space="preserve">, no artigo </w:t>
      </w:r>
      <w:r>
        <w:rPr>
          <w:rFonts w:ascii="Times New Roman" w:eastAsia="Times New Roman" w:hAnsi="Times New Roman" w:cs="Times New Roman"/>
          <w:i/>
          <w:color w:val="000000"/>
          <w:sz w:val="24"/>
          <w:szCs w:val="24"/>
        </w:rPr>
        <w:t>O ensino de vocabulário da língua ingl</w:t>
      </w:r>
      <w:r>
        <w:rPr>
          <w:rFonts w:ascii="Times New Roman" w:eastAsia="Times New Roman" w:hAnsi="Times New Roman" w:cs="Times New Roman"/>
          <w:i/>
          <w:color w:val="000000"/>
          <w:sz w:val="24"/>
          <w:szCs w:val="24"/>
        </w:rPr>
        <w:t>esa: uma perspectiva sob as lentes da escola pública</w:t>
      </w:r>
      <w:r>
        <w:rPr>
          <w:rFonts w:ascii="Times New Roman" w:eastAsia="Times New Roman" w:hAnsi="Times New Roman" w:cs="Times New Roman"/>
          <w:color w:val="000000"/>
          <w:sz w:val="24"/>
          <w:szCs w:val="24"/>
        </w:rPr>
        <w:t xml:space="preserve"> abordam alguns fatos vivenciados durante o Programa Residência Pedagógica (PRP), edição de 2022, da CAPES. Para tanto, apresentam algumas reflexões sobre o ensino de vocabulário, com o aporte teórico da </w:t>
      </w:r>
      <w:r>
        <w:rPr>
          <w:rFonts w:ascii="Times New Roman" w:eastAsia="Times New Roman" w:hAnsi="Times New Roman" w:cs="Times New Roman"/>
          <w:color w:val="000000"/>
          <w:sz w:val="24"/>
          <w:szCs w:val="24"/>
        </w:rPr>
        <w:t xml:space="preserve">BNCC (BRASIL, 2018), além de </w:t>
      </w:r>
      <w:proofErr w:type="spellStart"/>
      <w:r>
        <w:rPr>
          <w:rFonts w:ascii="Times New Roman" w:eastAsia="Times New Roman" w:hAnsi="Times New Roman" w:cs="Times New Roman"/>
          <w:color w:val="000000"/>
          <w:sz w:val="24"/>
          <w:szCs w:val="24"/>
        </w:rPr>
        <w:t>Vechetini</w:t>
      </w:r>
      <w:proofErr w:type="spellEnd"/>
      <w:r>
        <w:rPr>
          <w:rFonts w:ascii="Times New Roman" w:eastAsia="Times New Roman" w:hAnsi="Times New Roman" w:cs="Times New Roman"/>
          <w:color w:val="000000"/>
          <w:sz w:val="24"/>
          <w:szCs w:val="24"/>
        </w:rPr>
        <w:t xml:space="preserve"> (2005), sobre a importância e a implicação do ensino de vocabulário de língua inglesa; </w:t>
      </w:r>
      <w:proofErr w:type="spellStart"/>
      <w:r>
        <w:rPr>
          <w:rFonts w:ascii="Times New Roman" w:eastAsia="Times New Roman" w:hAnsi="Times New Roman" w:cs="Times New Roman"/>
          <w:color w:val="000000"/>
          <w:sz w:val="24"/>
          <w:szCs w:val="24"/>
        </w:rPr>
        <w:t>Gattolin</w:t>
      </w:r>
      <w:proofErr w:type="spellEnd"/>
      <w:r>
        <w:rPr>
          <w:rFonts w:ascii="Times New Roman" w:eastAsia="Times New Roman" w:hAnsi="Times New Roman" w:cs="Times New Roman"/>
          <w:color w:val="000000"/>
          <w:sz w:val="24"/>
          <w:szCs w:val="24"/>
        </w:rPr>
        <w:t xml:space="preserve"> (1998) para a contextualização e perspectivas sobre o ensino de vocabulário no Brasil e Schmitt (1997) no que diz respeit</w:t>
      </w:r>
      <w:r>
        <w:rPr>
          <w:rFonts w:ascii="Times New Roman" w:eastAsia="Times New Roman" w:hAnsi="Times New Roman" w:cs="Times New Roman"/>
          <w:color w:val="000000"/>
          <w:sz w:val="24"/>
          <w:szCs w:val="24"/>
        </w:rPr>
        <w:t>o às estratégias de ensino de vocabulário, entre outros. Finalizando, defendem que o ensino de vocabulário é uma ferramenta importante no aperfeiçoamento das habilidades interpretativas, de leitura e escrita.</w:t>
      </w:r>
    </w:p>
    <w:p w14:paraId="00000012" w14:textId="42BC25A1" w:rsidR="0058255A" w:rsidRDefault="00F36B80">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ab/>
      </w:r>
      <w:r>
        <w:rPr>
          <w:rFonts w:ascii="Times New Roman" w:eastAsia="Times New Roman" w:hAnsi="Times New Roman" w:cs="Times New Roman"/>
          <w:i/>
          <w:color w:val="000000"/>
          <w:sz w:val="24"/>
          <w:szCs w:val="24"/>
        </w:rPr>
        <w:tab/>
      </w:r>
      <w:r>
        <w:rPr>
          <w:rFonts w:ascii="Times New Roman" w:eastAsia="Times New Roman" w:hAnsi="Times New Roman" w:cs="Times New Roman"/>
          <w:i/>
          <w:color w:val="000000"/>
          <w:sz w:val="24"/>
          <w:szCs w:val="24"/>
        </w:rPr>
        <w:t xml:space="preserve">A contradição de discurso sobre cerceamento do </w:t>
      </w:r>
      <w:r>
        <w:rPr>
          <w:rFonts w:ascii="Times New Roman" w:eastAsia="Times New Roman" w:hAnsi="Times New Roman" w:cs="Times New Roman"/>
          <w:i/>
          <w:color w:val="000000"/>
          <w:sz w:val="24"/>
          <w:szCs w:val="24"/>
        </w:rPr>
        <w:t xml:space="preserve">texto literário nas escolas estaduais de Rondônia, presente na mídia social </w:t>
      </w:r>
      <w:proofErr w:type="spellStart"/>
      <w:r>
        <w:rPr>
          <w:rFonts w:ascii="Times New Roman" w:eastAsia="Times New Roman" w:hAnsi="Times New Roman" w:cs="Times New Roman"/>
          <w:i/>
          <w:color w:val="000000"/>
          <w:sz w:val="24"/>
          <w:szCs w:val="24"/>
        </w:rPr>
        <w:t>Facebook</w:t>
      </w:r>
      <w:proofErr w:type="spellEnd"/>
      <w:r>
        <w:rPr>
          <w:rFonts w:ascii="Times New Roman" w:eastAsia="Times New Roman" w:hAnsi="Times New Roman" w:cs="Times New Roman"/>
          <w:color w:val="000000"/>
          <w:sz w:val="24"/>
          <w:szCs w:val="24"/>
        </w:rPr>
        <w:t>, de Élcio Aloísio Fragoso  (UNIR) e Alessandra Maria Santos do Nascimento (UNIR), toma como base teórico-metodológica a Análise de Discurso (AD) fundada por Michel Pêcheux</w:t>
      </w:r>
      <w:r>
        <w:rPr>
          <w:rFonts w:ascii="Times New Roman" w:eastAsia="Times New Roman" w:hAnsi="Times New Roman" w:cs="Times New Roman"/>
          <w:color w:val="000000"/>
          <w:sz w:val="24"/>
          <w:szCs w:val="24"/>
        </w:rPr>
        <w:t xml:space="preserve"> na França nos anos 60, e desenvolvida no Brasil por estudos de </w:t>
      </w:r>
      <w:proofErr w:type="spellStart"/>
      <w:r>
        <w:rPr>
          <w:rFonts w:ascii="Times New Roman" w:eastAsia="Times New Roman" w:hAnsi="Times New Roman" w:cs="Times New Roman"/>
          <w:color w:val="000000"/>
          <w:sz w:val="24"/>
          <w:szCs w:val="24"/>
        </w:rPr>
        <w:t>Eni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Orlandi</w:t>
      </w:r>
      <w:proofErr w:type="spellEnd"/>
      <w:r>
        <w:rPr>
          <w:rFonts w:ascii="Times New Roman" w:eastAsia="Times New Roman" w:hAnsi="Times New Roman" w:cs="Times New Roman"/>
          <w:color w:val="000000"/>
          <w:sz w:val="24"/>
          <w:szCs w:val="24"/>
        </w:rPr>
        <w:t xml:space="preserve">. Logo, a partir do aporte teórico da AD, os autores selecionam os recortes do Guia Digital PNLD 2020 - um memorando da Secretaria de Educação de Rondônia e comentários de usuários </w:t>
      </w:r>
      <w:r>
        <w:rPr>
          <w:rFonts w:ascii="Times New Roman" w:eastAsia="Times New Roman" w:hAnsi="Times New Roman" w:cs="Times New Roman"/>
          <w:color w:val="000000"/>
          <w:sz w:val="24"/>
          <w:szCs w:val="24"/>
        </w:rPr>
        <w:t xml:space="preserve">do </w:t>
      </w:r>
      <w:proofErr w:type="spellStart"/>
      <w:r>
        <w:rPr>
          <w:rFonts w:ascii="Times New Roman" w:eastAsia="Times New Roman" w:hAnsi="Times New Roman" w:cs="Times New Roman"/>
          <w:color w:val="000000"/>
          <w:sz w:val="24"/>
          <w:szCs w:val="24"/>
        </w:rPr>
        <w:t>Facebook</w:t>
      </w:r>
      <w:proofErr w:type="spellEnd"/>
      <w:r>
        <w:rPr>
          <w:rFonts w:ascii="Times New Roman" w:eastAsia="Times New Roman" w:hAnsi="Times New Roman" w:cs="Times New Roman"/>
          <w:color w:val="000000"/>
          <w:sz w:val="24"/>
          <w:szCs w:val="24"/>
        </w:rPr>
        <w:t>, e definem como objetivo, compreender como o discurso de cerceamento à literatura na escola produz efeito de sentidos no sujeito a partir das contradições desses discursos. Assim, os autores tecem questões que contribuem para uma compreensão ac</w:t>
      </w:r>
      <w:r>
        <w:rPr>
          <w:rFonts w:ascii="Times New Roman" w:eastAsia="Times New Roman" w:hAnsi="Times New Roman" w:cs="Times New Roman"/>
          <w:color w:val="000000"/>
          <w:sz w:val="24"/>
          <w:szCs w:val="24"/>
        </w:rPr>
        <w:t>erca das práticas discursivas levando-se em conta a ligação entre linguagem, história, discurso e relações de poder.</w:t>
      </w:r>
    </w:p>
    <w:p w14:paraId="00000013" w14:textId="5E4394F3" w:rsidR="0058255A" w:rsidRDefault="00F36B80">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 xml:space="preserve">Marilda Aparecida </w:t>
      </w:r>
      <w:proofErr w:type="spellStart"/>
      <w:r>
        <w:rPr>
          <w:rFonts w:ascii="Times New Roman" w:eastAsia="Times New Roman" w:hAnsi="Times New Roman" w:cs="Times New Roman"/>
          <w:color w:val="000000"/>
          <w:sz w:val="24"/>
          <w:szCs w:val="24"/>
        </w:rPr>
        <w:t>Lachovski</w:t>
      </w:r>
      <w:proofErr w:type="spellEnd"/>
      <w:r>
        <w:rPr>
          <w:rFonts w:ascii="Times New Roman" w:eastAsia="Times New Roman" w:hAnsi="Times New Roman" w:cs="Times New Roman"/>
          <w:color w:val="000000"/>
          <w:sz w:val="24"/>
          <w:szCs w:val="24"/>
        </w:rPr>
        <w:t xml:space="preserve"> (UNICENTRO), propõe no artigo </w:t>
      </w:r>
      <w:r>
        <w:rPr>
          <w:rFonts w:ascii="Times New Roman" w:eastAsia="Times New Roman" w:hAnsi="Times New Roman" w:cs="Times New Roman"/>
          <w:i/>
          <w:color w:val="000000"/>
          <w:sz w:val="24"/>
          <w:szCs w:val="24"/>
        </w:rPr>
        <w:t xml:space="preserve">“Pilotar fogão?” – uma análise discursiva entre o </w:t>
      </w:r>
      <w:proofErr w:type="spellStart"/>
      <w:r>
        <w:rPr>
          <w:rFonts w:ascii="Times New Roman" w:eastAsia="Times New Roman" w:hAnsi="Times New Roman" w:cs="Times New Roman"/>
          <w:i/>
          <w:color w:val="000000"/>
          <w:sz w:val="24"/>
          <w:szCs w:val="24"/>
        </w:rPr>
        <w:t>restart</w:t>
      </w:r>
      <w:proofErr w:type="spellEnd"/>
      <w:r>
        <w:rPr>
          <w:rFonts w:ascii="Times New Roman" w:eastAsia="Times New Roman" w:hAnsi="Times New Roman" w:cs="Times New Roman"/>
          <w:i/>
          <w:color w:val="000000"/>
          <w:sz w:val="24"/>
          <w:szCs w:val="24"/>
        </w:rPr>
        <w:t xml:space="preserve"> de ideias e a reproduçã</w:t>
      </w:r>
      <w:r>
        <w:rPr>
          <w:rFonts w:ascii="Times New Roman" w:eastAsia="Times New Roman" w:hAnsi="Times New Roman" w:cs="Times New Roman"/>
          <w:i/>
          <w:color w:val="000000"/>
          <w:sz w:val="24"/>
          <w:szCs w:val="24"/>
        </w:rPr>
        <w:t xml:space="preserve">o de sentidos, </w:t>
      </w:r>
      <w:r>
        <w:rPr>
          <w:rFonts w:ascii="Times New Roman" w:eastAsia="Times New Roman" w:hAnsi="Times New Roman" w:cs="Times New Roman"/>
          <w:color w:val="000000"/>
          <w:sz w:val="24"/>
          <w:szCs w:val="24"/>
        </w:rPr>
        <w:t xml:space="preserve">uma reflexão sobre as formas de naturalização, na e pela repetição de que “lugar de mulher é na cozinha”, como constitutiva de discursos autoritários. Recorta para tanto, uma peça publicitária da Chevrolet, com o modelo </w:t>
      </w:r>
      <w:proofErr w:type="spellStart"/>
      <w:r>
        <w:rPr>
          <w:rFonts w:ascii="Times New Roman" w:eastAsia="Times New Roman" w:hAnsi="Times New Roman" w:cs="Times New Roman"/>
          <w:color w:val="000000"/>
          <w:sz w:val="24"/>
          <w:szCs w:val="24"/>
        </w:rPr>
        <w:t>Tracker</w:t>
      </w:r>
      <w:proofErr w:type="spellEnd"/>
      <w:r>
        <w:rPr>
          <w:rFonts w:ascii="Times New Roman" w:eastAsia="Times New Roman" w:hAnsi="Times New Roman" w:cs="Times New Roman"/>
          <w:color w:val="000000"/>
          <w:sz w:val="24"/>
          <w:szCs w:val="24"/>
        </w:rPr>
        <w:t>, na qual o en</w:t>
      </w:r>
      <w:r>
        <w:rPr>
          <w:rFonts w:ascii="Times New Roman" w:eastAsia="Times New Roman" w:hAnsi="Times New Roman" w:cs="Times New Roman"/>
          <w:color w:val="000000"/>
          <w:sz w:val="24"/>
          <w:szCs w:val="24"/>
        </w:rPr>
        <w:t>unciado “vai pilotar fogão”, segundo a autora, faz ressoar as memórias sexistas e que relegam à mulher o espaço privado, casa e cozinha, como lugares que as significam. Assim, a análise se constitui nos/pelos saberes (ditos e não ditos) que compõem o imagi</w:t>
      </w:r>
      <w:r>
        <w:rPr>
          <w:rFonts w:ascii="Times New Roman" w:eastAsia="Times New Roman" w:hAnsi="Times New Roman" w:cs="Times New Roman"/>
          <w:color w:val="000000"/>
          <w:sz w:val="24"/>
          <w:szCs w:val="24"/>
        </w:rPr>
        <w:t xml:space="preserve">nário e que reclamam outras leituras no presente, afetando sujeitos e sentidos. </w:t>
      </w:r>
    </w:p>
    <w:p w14:paraId="00000014" w14:textId="243920D5" w:rsidR="0058255A" w:rsidRDefault="00F36B80">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sz w:val="24"/>
          <w:szCs w:val="24"/>
        </w:rPr>
      </w:pPr>
      <w:bookmarkStart w:id="1" w:name="_heading=h.30j0zll" w:colFirst="0" w:colLast="0"/>
      <w:bookmarkEnd w:id="1"/>
      <w:r>
        <w:rPr>
          <w:rFonts w:ascii="Times New Roman" w:eastAsia="Times New Roman" w:hAnsi="Times New Roman" w:cs="Times New Roman"/>
          <w:i/>
          <w:color w:val="000000"/>
          <w:sz w:val="24"/>
          <w:szCs w:val="24"/>
        </w:rPr>
        <w:lastRenderedPageBreak/>
        <w:tab/>
      </w:r>
      <w:r>
        <w:rPr>
          <w:rFonts w:ascii="Times New Roman" w:eastAsia="Times New Roman" w:hAnsi="Times New Roman" w:cs="Times New Roman"/>
          <w:i/>
          <w:color w:val="000000"/>
          <w:sz w:val="24"/>
          <w:szCs w:val="24"/>
        </w:rPr>
        <w:tab/>
      </w:r>
      <w:r>
        <w:rPr>
          <w:rFonts w:ascii="Times New Roman" w:eastAsia="Times New Roman" w:hAnsi="Times New Roman" w:cs="Times New Roman"/>
          <w:i/>
          <w:color w:val="000000"/>
          <w:sz w:val="24"/>
          <w:szCs w:val="24"/>
        </w:rPr>
        <w:t xml:space="preserve">O conhecimento prévio e a memória de trabalho: aliados para a compreensão, </w:t>
      </w:r>
      <w:r>
        <w:rPr>
          <w:rFonts w:ascii="Times New Roman" w:eastAsia="Times New Roman" w:hAnsi="Times New Roman" w:cs="Times New Roman"/>
          <w:color w:val="000000"/>
          <w:sz w:val="24"/>
          <w:szCs w:val="24"/>
        </w:rPr>
        <w:t xml:space="preserve">sob a autoria de </w:t>
      </w:r>
      <w:proofErr w:type="spellStart"/>
      <w:r>
        <w:rPr>
          <w:rFonts w:ascii="Times New Roman" w:eastAsia="Times New Roman" w:hAnsi="Times New Roman" w:cs="Times New Roman"/>
          <w:color w:val="000000"/>
          <w:sz w:val="24"/>
          <w:szCs w:val="24"/>
        </w:rPr>
        <w:t>Giseli</w:t>
      </w:r>
      <w:proofErr w:type="spellEnd"/>
      <w:r>
        <w:rPr>
          <w:rFonts w:ascii="Times New Roman" w:eastAsia="Times New Roman" w:hAnsi="Times New Roman" w:cs="Times New Roman"/>
          <w:color w:val="000000"/>
          <w:sz w:val="24"/>
          <w:szCs w:val="24"/>
        </w:rPr>
        <w:t xml:space="preserve"> Cordeiro da Silva (UNICENTRO), Luciane </w:t>
      </w:r>
      <w:proofErr w:type="spellStart"/>
      <w:r>
        <w:rPr>
          <w:rFonts w:ascii="Times New Roman" w:eastAsia="Times New Roman" w:hAnsi="Times New Roman" w:cs="Times New Roman"/>
          <w:color w:val="000000"/>
          <w:sz w:val="24"/>
          <w:szCs w:val="24"/>
        </w:rPr>
        <w:t>Baretta</w:t>
      </w:r>
      <w:proofErr w:type="spellEnd"/>
      <w:r>
        <w:rPr>
          <w:rFonts w:ascii="Times New Roman" w:eastAsia="Times New Roman" w:hAnsi="Times New Roman" w:cs="Times New Roman"/>
          <w:color w:val="000000"/>
          <w:sz w:val="24"/>
          <w:szCs w:val="24"/>
        </w:rPr>
        <w:t xml:space="preserve"> (UNICENTRO) e Neide Pinheiro </w:t>
      </w:r>
      <w:r>
        <w:rPr>
          <w:rFonts w:ascii="Times New Roman" w:eastAsia="Times New Roman" w:hAnsi="Times New Roman" w:cs="Times New Roman"/>
          <w:color w:val="000000"/>
          <w:sz w:val="24"/>
          <w:szCs w:val="24"/>
        </w:rPr>
        <w:t>(UNICENTRO), faz uma incursão pelos modos como a memória de trabalho e o conhecimento prévio são fatores essenciais no processo de compreensão leitora. Amparadas teoricamente na psicolinguística, a análise empreendida busca revisitar o constructo da memóri</w:t>
      </w:r>
      <w:r>
        <w:rPr>
          <w:rFonts w:ascii="Times New Roman" w:eastAsia="Times New Roman" w:hAnsi="Times New Roman" w:cs="Times New Roman"/>
          <w:color w:val="000000"/>
          <w:sz w:val="24"/>
          <w:szCs w:val="24"/>
        </w:rPr>
        <w:t>a humana, enfatizando a memória de trabalho que, aliada ao conhecimento prévio, proporciona ao leitor uma leitura mais enriquecedora em relação a aprender novos conceitos, a realinhar/adaptar/modificar pensamentos ou a compreender os termos utilizados no t</w:t>
      </w:r>
      <w:r>
        <w:rPr>
          <w:rFonts w:ascii="Times New Roman" w:eastAsia="Times New Roman" w:hAnsi="Times New Roman" w:cs="Times New Roman"/>
          <w:color w:val="000000"/>
          <w:sz w:val="24"/>
          <w:szCs w:val="24"/>
        </w:rPr>
        <w:t>exto ampliando o seu entendimento interpretativo. Finalizando a escrita, as autoras defendem a ideia de que a memória de trabalho e o conhecimento prévio são fatores que contribuem diretamente no processo de compreensão enriquecendo e facilitando a leitura</w:t>
      </w:r>
      <w:r>
        <w:rPr>
          <w:rFonts w:ascii="Times New Roman" w:eastAsia="Times New Roman" w:hAnsi="Times New Roman" w:cs="Times New Roman"/>
          <w:color w:val="000000"/>
          <w:sz w:val="24"/>
          <w:szCs w:val="24"/>
        </w:rPr>
        <w:t>.</w:t>
      </w:r>
    </w:p>
    <w:p w14:paraId="00000015" w14:textId="1B47DB95" w:rsidR="0058255A" w:rsidRDefault="00F36B80">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Em</w:t>
      </w:r>
      <w:r>
        <w:rPr>
          <w:rFonts w:ascii="Times New Roman" w:eastAsia="Times New Roman" w:hAnsi="Times New Roman" w:cs="Times New Roman"/>
          <w:i/>
          <w:color w:val="000000"/>
          <w:sz w:val="24"/>
          <w:szCs w:val="24"/>
        </w:rPr>
        <w:t xml:space="preserve"> Além da razão e sensibilidade: uma leitura das protagonistas de Jane Austen, </w:t>
      </w:r>
      <w:r>
        <w:rPr>
          <w:rFonts w:ascii="Times New Roman" w:eastAsia="Times New Roman" w:hAnsi="Times New Roman" w:cs="Times New Roman"/>
          <w:color w:val="000000"/>
          <w:sz w:val="24"/>
          <w:szCs w:val="24"/>
        </w:rPr>
        <w:t xml:space="preserve">Maria Luiza Ribeiro </w:t>
      </w:r>
      <w:proofErr w:type="spellStart"/>
      <w:r>
        <w:rPr>
          <w:rFonts w:ascii="Times New Roman" w:eastAsia="Times New Roman" w:hAnsi="Times New Roman" w:cs="Times New Roman"/>
          <w:color w:val="000000"/>
          <w:sz w:val="24"/>
          <w:szCs w:val="24"/>
        </w:rPr>
        <w:t>Buzian</w:t>
      </w:r>
      <w:proofErr w:type="spellEnd"/>
      <w:r>
        <w:rPr>
          <w:rFonts w:ascii="Times New Roman" w:eastAsia="Times New Roman" w:hAnsi="Times New Roman" w:cs="Times New Roman"/>
          <w:color w:val="000000"/>
          <w:sz w:val="24"/>
          <w:szCs w:val="24"/>
        </w:rPr>
        <w:t xml:space="preserve"> (UFSCAR) e Carla Alexandra Ferreira (UFSCAR) analisam a figura das duas protagonistas do romance </w:t>
      </w:r>
      <w:r>
        <w:rPr>
          <w:rFonts w:ascii="Times New Roman" w:eastAsia="Times New Roman" w:hAnsi="Times New Roman" w:cs="Times New Roman"/>
          <w:i/>
          <w:color w:val="000000"/>
          <w:sz w:val="24"/>
          <w:szCs w:val="24"/>
        </w:rPr>
        <w:t>Razão e Sensibilidade</w:t>
      </w:r>
      <w:r>
        <w:rPr>
          <w:rFonts w:ascii="Times New Roman" w:eastAsia="Times New Roman" w:hAnsi="Times New Roman" w:cs="Times New Roman"/>
          <w:color w:val="000000"/>
          <w:sz w:val="24"/>
          <w:szCs w:val="24"/>
        </w:rPr>
        <w:t xml:space="preserve"> (1811) escrito por Jane Aust</w:t>
      </w:r>
      <w:r>
        <w:rPr>
          <w:rFonts w:ascii="Times New Roman" w:eastAsia="Times New Roman" w:hAnsi="Times New Roman" w:cs="Times New Roman"/>
          <w:color w:val="000000"/>
          <w:sz w:val="24"/>
          <w:szCs w:val="24"/>
        </w:rPr>
        <w:t xml:space="preserve">en, a partir da ótica da leitura dialética como proposta por </w:t>
      </w:r>
      <w:proofErr w:type="spellStart"/>
      <w:r>
        <w:rPr>
          <w:rFonts w:ascii="Times New Roman" w:eastAsia="Times New Roman" w:hAnsi="Times New Roman" w:cs="Times New Roman"/>
          <w:color w:val="000000"/>
          <w:sz w:val="24"/>
          <w:szCs w:val="24"/>
        </w:rPr>
        <w:t>Fredric</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Jameson</w:t>
      </w:r>
      <w:proofErr w:type="spellEnd"/>
      <w:r>
        <w:rPr>
          <w:rFonts w:ascii="Times New Roman" w:eastAsia="Times New Roman" w:hAnsi="Times New Roman" w:cs="Times New Roman"/>
          <w:color w:val="000000"/>
          <w:sz w:val="24"/>
          <w:szCs w:val="24"/>
        </w:rPr>
        <w:t xml:space="preserve"> (1992) e de questões de gênero como discutidas por Sandra Gilbert e Susan </w:t>
      </w:r>
      <w:proofErr w:type="spellStart"/>
      <w:r>
        <w:rPr>
          <w:rFonts w:ascii="Times New Roman" w:eastAsia="Times New Roman" w:hAnsi="Times New Roman" w:cs="Times New Roman"/>
          <w:color w:val="000000"/>
          <w:sz w:val="24"/>
          <w:szCs w:val="24"/>
        </w:rPr>
        <w:t>Gubar</w:t>
      </w:r>
      <w:proofErr w:type="spellEnd"/>
      <w:r>
        <w:rPr>
          <w:rFonts w:ascii="Times New Roman" w:eastAsia="Times New Roman" w:hAnsi="Times New Roman" w:cs="Times New Roman"/>
          <w:color w:val="000000"/>
          <w:sz w:val="24"/>
          <w:szCs w:val="24"/>
        </w:rPr>
        <w:t xml:space="preserve"> (2000). Assim, a análise coloca em questão como a mulher, sob o domínio do patriarcado, é figurada </w:t>
      </w:r>
      <w:r>
        <w:rPr>
          <w:rFonts w:ascii="Times New Roman" w:eastAsia="Times New Roman" w:hAnsi="Times New Roman" w:cs="Times New Roman"/>
          <w:color w:val="000000"/>
          <w:sz w:val="24"/>
          <w:szCs w:val="24"/>
        </w:rPr>
        <w:t>por essas personagens que, ao longo da narrativa, demonstram comportamentos extremos que vão sendo modificados no decorrer da história. figurando uma questão social premente, porém velada, sobre as mulheres do período da Regência, em uma Inglaterra em tran</w:t>
      </w:r>
      <w:r>
        <w:rPr>
          <w:rFonts w:ascii="Times New Roman" w:eastAsia="Times New Roman" w:hAnsi="Times New Roman" w:cs="Times New Roman"/>
          <w:color w:val="000000"/>
          <w:sz w:val="24"/>
          <w:szCs w:val="24"/>
        </w:rPr>
        <w:t>sição econômica e social.</w:t>
      </w:r>
    </w:p>
    <w:p w14:paraId="00000016" w14:textId="07662575" w:rsidR="0058255A" w:rsidRDefault="00F36B80">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 xml:space="preserve">Alzira Fabiana de </w:t>
      </w:r>
      <w:proofErr w:type="spellStart"/>
      <w:r>
        <w:rPr>
          <w:rFonts w:ascii="Times New Roman" w:eastAsia="Times New Roman" w:hAnsi="Times New Roman" w:cs="Times New Roman"/>
          <w:color w:val="000000"/>
          <w:sz w:val="24"/>
          <w:szCs w:val="24"/>
        </w:rPr>
        <w:t>Christo</w:t>
      </w:r>
      <w:proofErr w:type="spellEnd"/>
      <w:r>
        <w:rPr>
          <w:rFonts w:ascii="Times New Roman" w:eastAsia="Times New Roman" w:hAnsi="Times New Roman" w:cs="Times New Roman"/>
          <w:color w:val="000000"/>
          <w:sz w:val="24"/>
          <w:szCs w:val="24"/>
        </w:rPr>
        <w:t xml:space="preserve"> (UNICENTRO) e Bárbara Vitória dos Reis Santos (UNICENTRO),no artigo intitulado </w:t>
      </w:r>
      <w:r>
        <w:rPr>
          <w:rFonts w:ascii="Times New Roman" w:eastAsia="Times New Roman" w:hAnsi="Times New Roman" w:cs="Times New Roman"/>
          <w:i/>
          <w:color w:val="000000"/>
          <w:sz w:val="24"/>
          <w:szCs w:val="24"/>
        </w:rPr>
        <w:t xml:space="preserve">Libras como meio de comunicação para crianças com </w:t>
      </w:r>
      <w:proofErr w:type="spellStart"/>
      <w:r>
        <w:rPr>
          <w:rFonts w:ascii="Times New Roman" w:eastAsia="Times New Roman" w:hAnsi="Times New Roman" w:cs="Times New Roman"/>
          <w:i/>
          <w:color w:val="000000"/>
          <w:sz w:val="24"/>
          <w:szCs w:val="24"/>
        </w:rPr>
        <w:t>tea</w:t>
      </w:r>
      <w:proofErr w:type="spellEnd"/>
      <w:r>
        <w:rPr>
          <w:rFonts w:ascii="Times New Roman" w:eastAsia="Times New Roman" w:hAnsi="Times New Roman" w:cs="Times New Roman"/>
          <w:i/>
          <w:color w:val="000000"/>
          <w:sz w:val="24"/>
          <w:szCs w:val="24"/>
        </w:rPr>
        <w:t xml:space="preserve"> (transtorno do espectro autista) não verbais,</w:t>
      </w:r>
      <w:r>
        <w:rPr>
          <w:rFonts w:ascii="Times New Roman" w:eastAsia="Times New Roman" w:hAnsi="Times New Roman" w:cs="Times New Roman"/>
          <w:color w:val="000000"/>
          <w:sz w:val="24"/>
          <w:szCs w:val="24"/>
        </w:rPr>
        <w:t xml:space="preserve"> traz Libras como meio de </w:t>
      </w:r>
      <w:r>
        <w:rPr>
          <w:rFonts w:ascii="Times New Roman" w:eastAsia="Times New Roman" w:hAnsi="Times New Roman" w:cs="Times New Roman"/>
          <w:color w:val="000000"/>
          <w:sz w:val="24"/>
          <w:szCs w:val="24"/>
        </w:rPr>
        <w:t>comunicação para crianças autistas não verbais, e defendem a língua como necessária para que no decorrer de suas vidas, essas crianças possam ter uma outra forma de se comunicar, auxiliando assim em todo o seu desenvolvimento pessoal, social e cognitivo. N</w:t>
      </w:r>
      <w:r>
        <w:rPr>
          <w:rFonts w:ascii="Times New Roman" w:eastAsia="Times New Roman" w:hAnsi="Times New Roman" w:cs="Times New Roman"/>
          <w:color w:val="000000"/>
          <w:sz w:val="24"/>
          <w:szCs w:val="24"/>
        </w:rPr>
        <w:t xml:space="preserve">este sentido, o artigo aponta para as técnicas e metodologias para o ensino de libras ser a ferramenta de superação de desafios da comunicação para crianças autistas. </w:t>
      </w:r>
    </w:p>
    <w:p w14:paraId="00000017" w14:textId="46C43BB9" w:rsidR="0058255A" w:rsidRDefault="00F36B80">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ab/>
      </w:r>
      <w:r>
        <w:rPr>
          <w:rFonts w:ascii="Times New Roman" w:eastAsia="Times New Roman" w:hAnsi="Times New Roman" w:cs="Times New Roman"/>
          <w:i/>
          <w:color w:val="000000"/>
          <w:sz w:val="24"/>
          <w:szCs w:val="24"/>
        </w:rPr>
        <w:tab/>
      </w:r>
      <w:r>
        <w:rPr>
          <w:rFonts w:ascii="Times New Roman" w:eastAsia="Times New Roman" w:hAnsi="Times New Roman" w:cs="Times New Roman"/>
          <w:i/>
          <w:color w:val="000000"/>
          <w:sz w:val="24"/>
          <w:szCs w:val="24"/>
        </w:rPr>
        <w:t xml:space="preserve">Francis Bacon: uma leitura materialista, </w:t>
      </w:r>
      <w:r>
        <w:rPr>
          <w:rFonts w:ascii="Times New Roman" w:eastAsia="Times New Roman" w:hAnsi="Times New Roman" w:cs="Times New Roman"/>
          <w:color w:val="000000"/>
          <w:sz w:val="24"/>
          <w:szCs w:val="24"/>
        </w:rPr>
        <w:t>de Gustavo Luiz Telles (</w:t>
      </w:r>
      <w:proofErr w:type="spellStart"/>
      <w:r>
        <w:rPr>
          <w:rFonts w:ascii="Times New Roman" w:eastAsia="Times New Roman" w:hAnsi="Times New Roman" w:cs="Times New Roman"/>
          <w:color w:val="000000"/>
          <w:sz w:val="24"/>
          <w:szCs w:val="24"/>
        </w:rPr>
        <w:t>UniSul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Ânima</w:t>
      </w:r>
      <w:proofErr w:type="spellEnd"/>
      <w:r>
        <w:rPr>
          <w:rFonts w:ascii="Times New Roman" w:eastAsia="Times New Roman" w:hAnsi="Times New Roman" w:cs="Times New Roman"/>
          <w:color w:val="000000"/>
          <w:sz w:val="24"/>
          <w:szCs w:val="24"/>
        </w:rPr>
        <w:t xml:space="preserve">) e </w:t>
      </w:r>
      <w:proofErr w:type="spellStart"/>
      <w:r>
        <w:rPr>
          <w:rFonts w:ascii="Times New Roman" w:eastAsia="Times New Roman" w:hAnsi="Times New Roman" w:cs="Times New Roman"/>
          <w:color w:val="000000"/>
          <w:sz w:val="24"/>
          <w:szCs w:val="24"/>
        </w:rPr>
        <w:t>Nadia</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Neckel</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UniSul-Ânima</w:t>
      </w:r>
      <w:proofErr w:type="spellEnd"/>
      <w:r>
        <w:rPr>
          <w:rFonts w:ascii="Times New Roman" w:eastAsia="Times New Roman" w:hAnsi="Times New Roman" w:cs="Times New Roman"/>
          <w:color w:val="000000"/>
          <w:sz w:val="24"/>
          <w:szCs w:val="24"/>
        </w:rPr>
        <w:t>), apresenta uma análise materialista da pintura "</w:t>
      </w:r>
      <w:proofErr w:type="spellStart"/>
      <w:r>
        <w:rPr>
          <w:rFonts w:ascii="Times New Roman" w:eastAsia="Times New Roman" w:hAnsi="Times New Roman" w:cs="Times New Roman"/>
          <w:color w:val="000000"/>
          <w:sz w:val="24"/>
          <w:szCs w:val="24"/>
        </w:rPr>
        <w:t>Painting</w:t>
      </w:r>
      <w:proofErr w:type="spellEnd"/>
      <w:r>
        <w:rPr>
          <w:rFonts w:ascii="Times New Roman" w:eastAsia="Times New Roman" w:hAnsi="Times New Roman" w:cs="Times New Roman"/>
          <w:color w:val="000000"/>
          <w:sz w:val="24"/>
          <w:szCs w:val="24"/>
        </w:rPr>
        <w:t>" (1946) de Francis Bacon, examinando a obra de arte em seu contexto histórico, sociopolítico e ideológico. Segundo os autores, a arte de Bacon, caracterizada por deformações, mu</w:t>
      </w:r>
      <w:r>
        <w:rPr>
          <w:rFonts w:ascii="Times New Roman" w:eastAsia="Times New Roman" w:hAnsi="Times New Roman" w:cs="Times New Roman"/>
          <w:color w:val="000000"/>
          <w:sz w:val="24"/>
          <w:szCs w:val="24"/>
        </w:rPr>
        <w:t>tilações e aberrações, é um radical afastamento dos padrões normativos. Para a análise, sustentam-se teoricamente em Michel Pêcheux, Louis Althusser, Gilles Deleuze, Emmanuel, buscando pensar como a arte de Bacon se envolve com as forças sociais e ideológi</w:t>
      </w:r>
      <w:r>
        <w:rPr>
          <w:rFonts w:ascii="Times New Roman" w:eastAsia="Times New Roman" w:hAnsi="Times New Roman" w:cs="Times New Roman"/>
          <w:color w:val="000000"/>
          <w:sz w:val="24"/>
          <w:szCs w:val="24"/>
        </w:rPr>
        <w:t xml:space="preserve">cas que moldam e controlam os corpos, ou seja, perturba a "estrutura implacável" das expectativas </w:t>
      </w:r>
      <w:proofErr w:type="spellStart"/>
      <w:r>
        <w:rPr>
          <w:rFonts w:ascii="Times New Roman" w:eastAsia="Times New Roman" w:hAnsi="Times New Roman" w:cs="Times New Roman"/>
          <w:color w:val="000000"/>
          <w:sz w:val="24"/>
          <w:szCs w:val="24"/>
        </w:rPr>
        <w:t>heteronormativas</w:t>
      </w:r>
      <w:proofErr w:type="spellEnd"/>
      <w:r>
        <w:rPr>
          <w:rFonts w:ascii="Times New Roman" w:eastAsia="Times New Roman" w:hAnsi="Times New Roman" w:cs="Times New Roman"/>
          <w:color w:val="000000"/>
          <w:sz w:val="24"/>
          <w:szCs w:val="24"/>
        </w:rPr>
        <w:t xml:space="preserve">, nas palavras dos autores. </w:t>
      </w:r>
    </w:p>
    <w:p w14:paraId="00000018" w14:textId="75AC3C18" w:rsidR="0058255A" w:rsidRDefault="00F36B80">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sz w:val="24"/>
          <w:szCs w:val="24"/>
        </w:rPr>
        <w:tab/>
      </w:r>
      <w:r>
        <w:rPr>
          <w:rFonts w:ascii="Times New Roman" w:eastAsia="Times New Roman" w:hAnsi="Times New Roman" w:cs="Times New Roman"/>
          <w:i/>
          <w:color w:val="000000"/>
          <w:sz w:val="24"/>
          <w:szCs w:val="24"/>
        </w:rPr>
        <w:tab/>
      </w:r>
      <w:r>
        <w:rPr>
          <w:rFonts w:ascii="Times New Roman" w:eastAsia="Times New Roman" w:hAnsi="Times New Roman" w:cs="Times New Roman"/>
          <w:i/>
          <w:color w:val="000000"/>
          <w:sz w:val="24"/>
          <w:szCs w:val="24"/>
        </w:rPr>
        <w:t xml:space="preserve">Os dicionários no espaço escolar brasileira, de </w:t>
      </w:r>
      <w:r>
        <w:rPr>
          <w:rFonts w:ascii="Times New Roman" w:eastAsia="Times New Roman" w:hAnsi="Times New Roman" w:cs="Times New Roman"/>
          <w:color w:val="000000"/>
          <w:sz w:val="24"/>
          <w:szCs w:val="24"/>
        </w:rPr>
        <w:t>Maria Claudia Teixeira (UNICENTRO), mobiliza, na perspectiva mate</w:t>
      </w:r>
      <w:r>
        <w:rPr>
          <w:rFonts w:ascii="Times New Roman" w:eastAsia="Times New Roman" w:hAnsi="Times New Roman" w:cs="Times New Roman"/>
          <w:color w:val="000000"/>
          <w:sz w:val="24"/>
          <w:szCs w:val="24"/>
        </w:rPr>
        <w:t xml:space="preserve">rialista da História das Ideias </w:t>
      </w:r>
      <w:proofErr w:type="gramStart"/>
      <w:r>
        <w:rPr>
          <w:rFonts w:ascii="Times New Roman" w:eastAsia="Times New Roman" w:hAnsi="Times New Roman" w:cs="Times New Roman"/>
          <w:color w:val="000000"/>
          <w:sz w:val="24"/>
          <w:szCs w:val="24"/>
        </w:rPr>
        <w:t>Linguísticas,  conceitos</w:t>
      </w:r>
      <w:proofErr w:type="gramEnd"/>
      <w:r>
        <w:rPr>
          <w:rFonts w:ascii="Times New Roman" w:eastAsia="Times New Roman" w:hAnsi="Times New Roman" w:cs="Times New Roman"/>
          <w:color w:val="000000"/>
          <w:sz w:val="24"/>
          <w:szCs w:val="24"/>
        </w:rPr>
        <w:t xml:space="preserve"> e dispositivos teóricos e analíticos da Análise de Discurso, na linha das produções de Michel Pêcheux e </w:t>
      </w:r>
      <w:proofErr w:type="spellStart"/>
      <w:r>
        <w:rPr>
          <w:rFonts w:ascii="Times New Roman" w:eastAsia="Times New Roman" w:hAnsi="Times New Roman" w:cs="Times New Roman"/>
          <w:color w:val="000000"/>
          <w:sz w:val="24"/>
          <w:szCs w:val="24"/>
        </w:rPr>
        <w:t>Eni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Orlandi</w:t>
      </w:r>
      <w:proofErr w:type="spellEnd"/>
      <w:r>
        <w:rPr>
          <w:rFonts w:ascii="Times New Roman" w:eastAsia="Times New Roman" w:hAnsi="Times New Roman" w:cs="Times New Roman"/>
          <w:color w:val="000000"/>
          <w:sz w:val="24"/>
          <w:szCs w:val="24"/>
        </w:rPr>
        <w:t>. Assim, a autora percorre a história das políticas públicas de avaliação dos livros</w:t>
      </w:r>
      <w:r>
        <w:rPr>
          <w:rFonts w:ascii="Times New Roman" w:eastAsia="Times New Roman" w:hAnsi="Times New Roman" w:cs="Times New Roman"/>
          <w:color w:val="000000"/>
          <w:sz w:val="24"/>
          <w:szCs w:val="24"/>
        </w:rPr>
        <w:t xml:space="preserve"> didáticos para compreender como se deu a inserção dos dicionários nessas políticas, considerando que a história dos dicionários na escola brasileira está entrelaçada </w:t>
      </w:r>
      <w:r>
        <w:rPr>
          <w:rFonts w:ascii="Times New Roman" w:eastAsia="Times New Roman" w:hAnsi="Times New Roman" w:cs="Times New Roman"/>
          <w:color w:val="000000"/>
          <w:sz w:val="24"/>
          <w:szCs w:val="24"/>
        </w:rPr>
        <w:lastRenderedPageBreak/>
        <w:t>com a história da avaliação dos livros didáticos, dos manuais e dos guias elaborados para</w:t>
      </w:r>
      <w:r>
        <w:rPr>
          <w:rFonts w:ascii="Times New Roman" w:eastAsia="Times New Roman" w:hAnsi="Times New Roman" w:cs="Times New Roman"/>
          <w:color w:val="000000"/>
          <w:sz w:val="24"/>
          <w:szCs w:val="24"/>
        </w:rPr>
        <w:t xml:space="preserve"> os professores. Logo, destaca  uma história do processo de avaliação dos livros didáticos nos quais se inserem os dicionários no Brasil entre 1938 e 1985, período que recobre o início oficial do processo de avaliação de livros didáticos em 1938 e vai até </w:t>
      </w:r>
      <w:r>
        <w:rPr>
          <w:rFonts w:ascii="Times New Roman" w:eastAsia="Times New Roman" w:hAnsi="Times New Roman" w:cs="Times New Roman"/>
          <w:color w:val="000000"/>
          <w:sz w:val="24"/>
          <w:szCs w:val="24"/>
        </w:rPr>
        <w:t>o momento em que entra em cena o Programa Nacional do Livro e do Material Didático (PNLD) em 1985, pensando o lugar do dicionário nas políticas de seleção de materiais didáticos.</w:t>
      </w:r>
    </w:p>
    <w:p w14:paraId="00000019" w14:textId="36181173" w:rsidR="0058255A" w:rsidRDefault="00F36B80">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Tecendo</w:t>
      </w:r>
      <w:r>
        <w:rPr>
          <w:rFonts w:ascii="Times New Roman" w:eastAsia="Times New Roman" w:hAnsi="Times New Roman" w:cs="Times New Roman"/>
          <w:i/>
          <w:color w:val="000000"/>
          <w:sz w:val="24"/>
          <w:szCs w:val="24"/>
        </w:rPr>
        <w:t xml:space="preserve"> Reflexões acerca das concepções de linguagem em livros didáticos nos </w:t>
      </w:r>
      <w:r>
        <w:rPr>
          <w:rFonts w:ascii="Times New Roman" w:eastAsia="Times New Roman" w:hAnsi="Times New Roman" w:cs="Times New Roman"/>
          <w:i/>
          <w:color w:val="000000"/>
          <w:sz w:val="24"/>
          <w:szCs w:val="24"/>
        </w:rPr>
        <w:t xml:space="preserve">anos 1980 e 1990: uma perspectiva discursiva, </w:t>
      </w:r>
      <w:proofErr w:type="spellStart"/>
      <w:r>
        <w:rPr>
          <w:rFonts w:ascii="Times New Roman" w:eastAsia="Times New Roman" w:hAnsi="Times New Roman" w:cs="Times New Roman"/>
          <w:i/>
          <w:color w:val="000000"/>
          <w:sz w:val="24"/>
          <w:szCs w:val="24"/>
        </w:rPr>
        <w:t>Jaíne</w:t>
      </w:r>
      <w:proofErr w:type="spellEnd"/>
      <w:r>
        <w:rPr>
          <w:rFonts w:ascii="Times New Roman" w:eastAsia="Times New Roman" w:hAnsi="Times New Roman" w:cs="Times New Roman"/>
          <w:i/>
          <w:color w:val="000000"/>
          <w:sz w:val="24"/>
          <w:szCs w:val="24"/>
        </w:rPr>
        <w:t xml:space="preserve"> de Fátima Machado da Silva (UFSM) e Tais da Silva Martins (UFSM), </w:t>
      </w:r>
      <w:r>
        <w:rPr>
          <w:rFonts w:ascii="Times New Roman" w:eastAsia="Times New Roman" w:hAnsi="Times New Roman" w:cs="Times New Roman"/>
          <w:color w:val="000000"/>
          <w:sz w:val="24"/>
          <w:szCs w:val="24"/>
        </w:rPr>
        <w:t>buscam,  a partir</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 xml:space="preserve">da fundamentação teórica a Análise de Discurso </w:t>
      </w:r>
      <w:proofErr w:type="spellStart"/>
      <w:r>
        <w:rPr>
          <w:rFonts w:ascii="Times New Roman" w:eastAsia="Times New Roman" w:hAnsi="Times New Roman" w:cs="Times New Roman"/>
          <w:color w:val="000000"/>
          <w:sz w:val="24"/>
          <w:szCs w:val="24"/>
        </w:rPr>
        <w:t>pecheutiana</w:t>
      </w:r>
      <w:proofErr w:type="spellEnd"/>
      <w:r>
        <w:rPr>
          <w:rFonts w:ascii="Times New Roman" w:eastAsia="Times New Roman" w:hAnsi="Times New Roman" w:cs="Times New Roman"/>
          <w:color w:val="000000"/>
          <w:sz w:val="24"/>
          <w:szCs w:val="24"/>
        </w:rPr>
        <w:t xml:space="preserve"> em articulação com a História das Ideias Linguísticas, analis</w:t>
      </w:r>
      <w:r>
        <w:rPr>
          <w:rFonts w:ascii="Times New Roman" w:eastAsia="Times New Roman" w:hAnsi="Times New Roman" w:cs="Times New Roman"/>
          <w:color w:val="000000"/>
          <w:sz w:val="24"/>
          <w:szCs w:val="24"/>
        </w:rPr>
        <w:t>ar discursivamente que concepção(</w:t>
      </w:r>
      <w:proofErr w:type="spellStart"/>
      <w:r>
        <w:rPr>
          <w:rFonts w:ascii="Times New Roman" w:eastAsia="Times New Roman" w:hAnsi="Times New Roman" w:cs="Times New Roman"/>
          <w:color w:val="000000"/>
          <w:sz w:val="24"/>
          <w:szCs w:val="24"/>
        </w:rPr>
        <w:t>ções</w:t>
      </w:r>
      <w:proofErr w:type="spellEnd"/>
      <w:r>
        <w:rPr>
          <w:rFonts w:ascii="Times New Roman" w:eastAsia="Times New Roman" w:hAnsi="Times New Roman" w:cs="Times New Roman"/>
          <w:color w:val="000000"/>
          <w:sz w:val="24"/>
          <w:szCs w:val="24"/>
        </w:rPr>
        <w:t xml:space="preserve">) de linguagem predomina(m) em livros didáticos da educação básica das décadas de 1980 e 1990, no Brasil. O arquivo se constitui de dois livros didáticos de língua portuguesa - </w:t>
      </w:r>
      <w:r>
        <w:rPr>
          <w:rFonts w:ascii="Times New Roman" w:eastAsia="Times New Roman" w:hAnsi="Times New Roman" w:cs="Times New Roman"/>
          <w:i/>
          <w:color w:val="000000"/>
          <w:sz w:val="24"/>
          <w:szCs w:val="24"/>
        </w:rPr>
        <w:t>Novo Português através de textos - Comunic</w:t>
      </w:r>
      <w:r>
        <w:rPr>
          <w:rFonts w:ascii="Times New Roman" w:eastAsia="Times New Roman" w:hAnsi="Times New Roman" w:cs="Times New Roman"/>
          <w:i/>
          <w:color w:val="000000"/>
          <w:sz w:val="24"/>
          <w:szCs w:val="24"/>
        </w:rPr>
        <w:t>ação e Expressão</w:t>
      </w:r>
      <w:r>
        <w:rPr>
          <w:rFonts w:ascii="Times New Roman" w:eastAsia="Times New Roman" w:hAnsi="Times New Roman" w:cs="Times New Roman"/>
          <w:color w:val="000000"/>
          <w:sz w:val="24"/>
          <w:szCs w:val="24"/>
        </w:rPr>
        <w:t xml:space="preserve">, de 1982; e </w:t>
      </w:r>
      <w:r>
        <w:rPr>
          <w:rFonts w:ascii="Times New Roman" w:eastAsia="Times New Roman" w:hAnsi="Times New Roman" w:cs="Times New Roman"/>
          <w:i/>
          <w:color w:val="000000"/>
          <w:sz w:val="24"/>
          <w:szCs w:val="24"/>
        </w:rPr>
        <w:t>Português através de texto</w:t>
      </w:r>
      <w:r>
        <w:rPr>
          <w:rFonts w:ascii="Times New Roman" w:eastAsia="Times New Roman" w:hAnsi="Times New Roman" w:cs="Times New Roman"/>
          <w:color w:val="000000"/>
          <w:sz w:val="24"/>
          <w:szCs w:val="24"/>
        </w:rPr>
        <w:t xml:space="preserve">s, de 1990 -, ambos de 8ª série e de autoria de Magda Soares, e desses, as autoras recortam sequências discursivas da seção de (sus)tentação de cada um deles. Como </w:t>
      </w:r>
      <w:proofErr w:type="gramStart"/>
      <w:r>
        <w:rPr>
          <w:rFonts w:ascii="Times New Roman" w:eastAsia="Times New Roman" w:hAnsi="Times New Roman" w:cs="Times New Roman"/>
          <w:color w:val="000000"/>
          <w:sz w:val="24"/>
          <w:szCs w:val="24"/>
        </w:rPr>
        <w:t>resultados,  apontam</w:t>
      </w:r>
      <w:proofErr w:type="gramEnd"/>
      <w:r>
        <w:rPr>
          <w:rFonts w:ascii="Times New Roman" w:eastAsia="Times New Roman" w:hAnsi="Times New Roman" w:cs="Times New Roman"/>
          <w:color w:val="000000"/>
          <w:sz w:val="24"/>
          <w:szCs w:val="24"/>
        </w:rPr>
        <w:t xml:space="preserve"> que as concepçõe</w:t>
      </w:r>
      <w:r>
        <w:rPr>
          <w:rFonts w:ascii="Times New Roman" w:eastAsia="Times New Roman" w:hAnsi="Times New Roman" w:cs="Times New Roman"/>
          <w:color w:val="000000"/>
          <w:sz w:val="24"/>
          <w:szCs w:val="24"/>
        </w:rPr>
        <w:t>s de linguagem que predominam em livros didáticos da educação básica das décadas de 1980 e 1990 são: no livro de 1982, a concepção de linguagem como instrumento de comunicação, calcada na Teoria da Comunicação de Roman Jakobson; e, no livro de 1990, a conc</w:t>
      </w:r>
      <w:r>
        <w:rPr>
          <w:rFonts w:ascii="Times New Roman" w:eastAsia="Times New Roman" w:hAnsi="Times New Roman" w:cs="Times New Roman"/>
          <w:color w:val="000000"/>
          <w:sz w:val="24"/>
          <w:szCs w:val="24"/>
        </w:rPr>
        <w:t>epção de linguagem como forma de interação.</w:t>
      </w:r>
    </w:p>
    <w:p w14:paraId="0000001A" w14:textId="57550812" w:rsidR="0058255A" w:rsidRDefault="00F36B80">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 xml:space="preserve">Já em </w:t>
      </w:r>
      <w:r>
        <w:rPr>
          <w:rFonts w:ascii="Times New Roman" w:eastAsia="Times New Roman" w:hAnsi="Times New Roman" w:cs="Times New Roman"/>
          <w:i/>
          <w:color w:val="000000"/>
          <w:sz w:val="24"/>
          <w:szCs w:val="24"/>
        </w:rPr>
        <w:t xml:space="preserve">Políticas públicas de acolhimento linguístico na escola: uma análise dos documentos oficiais para migrantes internacionais, </w:t>
      </w:r>
      <w:proofErr w:type="spellStart"/>
      <w:r>
        <w:rPr>
          <w:rFonts w:ascii="Times New Roman" w:eastAsia="Times New Roman" w:hAnsi="Times New Roman" w:cs="Times New Roman"/>
          <w:color w:val="000000"/>
          <w:sz w:val="24"/>
          <w:szCs w:val="24"/>
        </w:rPr>
        <w:t>Jorgelina</w:t>
      </w:r>
      <w:proofErr w:type="spellEnd"/>
      <w:r>
        <w:rPr>
          <w:rFonts w:ascii="Times New Roman" w:eastAsia="Times New Roman" w:hAnsi="Times New Roman" w:cs="Times New Roman"/>
          <w:color w:val="000000"/>
          <w:sz w:val="24"/>
          <w:szCs w:val="24"/>
        </w:rPr>
        <w:t xml:space="preserve"> Ivana </w:t>
      </w:r>
      <w:proofErr w:type="spellStart"/>
      <w:r>
        <w:rPr>
          <w:rFonts w:ascii="Times New Roman" w:eastAsia="Times New Roman" w:hAnsi="Times New Roman" w:cs="Times New Roman"/>
          <w:color w:val="000000"/>
          <w:sz w:val="24"/>
          <w:szCs w:val="24"/>
        </w:rPr>
        <w:t>Tallei</w:t>
      </w:r>
      <w:proofErr w:type="spellEnd"/>
      <w:r>
        <w:rPr>
          <w:rFonts w:ascii="Times New Roman" w:eastAsia="Times New Roman" w:hAnsi="Times New Roman" w:cs="Times New Roman"/>
          <w:color w:val="000000"/>
          <w:sz w:val="24"/>
          <w:szCs w:val="24"/>
        </w:rPr>
        <w:t xml:space="preserve"> (UFMG) Tainara Maria de Lima Moura (UNILLA) e Franciele Mar</w:t>
      </w:r>
      <w:r>
        <w:rPr>
          <w:rFonts w:ascii="Times New Roman" w:eastAsia="Times New Roman" w:hAnsi="Times New Roman" w:cs="Times New Roman"/>
          <w:color w:val="000000"/>
          <w:sz w:val="24"/>
          <w:szCs w:val="24"/>
        </w:rPr>
        <w:t>ia Martins (UNIOESTE), abordam o levantamento e a análise documental de políticas públicas voltadas para acolhimento linguístico a crianças migrantes internacionais no Estado do Paraná, com foco especial no sistema escolar de Foz do Iguaçu. As autoras defe</w:t>
      </w:r>
      <w:r>
        <w:rPr>
          <w:rFonts w:ascii="Times New Roman" w:eastAsia="Times New Roman" w:hAnsi="Times New Roman" w:cs="Times New Roman"/>
          <w:color w:val="000000"/>
          <w:sz w:val="24"/>
          <w:szCs w:val="24"/>
        </w:rPr>
        <w:t>ndem que os documentos locais, bem como do Estado do Paraná e da Base Nacional Comum Curricular (BNCC) revelam lacunas na abordagem da migração na educação, apontando para a necessidade de uma maior ênfase na diversidade cultural e nas experiências das cri</w:t>
      </w:r>
      <w:r>
        <w:rPr>
          <w:rFonts w:ascii="Times New Roman" w:eastAsia="Times New Roman" w:hAnsi="Times New Roman" w:cs="Times New Roman"/>
          <w:color w:val="000000"/>
          <w:sz w:val="24"/>
          <w:szCs w:val="24"/>
        </w:rPr>
        <w:t>anças migrantes nos currículos escolares. Portanto, destacam que iniciativas como o Programa de Acolhimento da cidade de Foz do Iguaçu e a criação do Comitê Municipal de Atenção aos Migrantes, Refugiados e Apátridas demonstram um compromisso, ainda em cons</w:t>
      </w:r>
      <w:r>
        <w:rPr>
          <w:rFonts w:ascii="Times New Roman" w:eastAsia="Times New Roman" w:hAnsi="Times New Roman" w:cs="Times New Roman"/>
          <w:color w:val="000000"/>
          <w:sz w:val="24"/>
          <w:szCs w:val="24"/>
        </w:rPr>
        <w:t>trução, em superar os desafios enfrentados por essa população para a efetiva integração.</w:t>
      </w:r>
    </w:p>
    <w:p w14:paraId="0000001B" w14:textId="11C9A12B" w:rsidR="0058255A" w:rsidRDefault="00F36B80">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proofErr w:type="spellStart"/>
      <w:r>
        <w:rPr>
          <w:rFonts w:ascii="Times New Roman" w:eastAsia="Times New Roman" w:hAnsi="Times New Roman" w:cs="Times New Roman"/>
          <w:color w:val="000000"/>
          <w:sz w:val="24"/>
          <w:szCs w:val="24"/>
        </w:rPr>
        <w:t>Lucelene</w:t>
      </w:r>
      <w:proofErr w:type="spellEnd"/>
      <w:r>
        <w:rPr>
          <w:rFonts w:ascii="Times New Roman" w:eastAsia="Times New Roman" w:hAnsi="Times New Roman" w:cs="Times New Roman"/>
          <w:color w:val="000000"/>
          <w:sz w:val="24"/>
          <w:szCs w:val="24"/>
        </w:rPr>
        <w:t xml:space="preserve"> Teresinha </w:t>
      </w:r>
      <w:proofErr w:type="spellStart"/>
      <w:r>
        <w:rPr>
          <w:rFonts w:ascii="Times New Roman" w:eastAsia="Times New Roman" w:hAnsi="Times New Roman" w:cs="Times New Roman"/>
          <w:color w:val="000000"/>
          <w:sz w:val="24"/>
          <w:szCs w:val="24"/>
        </w:rPr>
        <w:t>Francenchini</w:t>
      </w:r>
      <w:proofErr w:type="spellEnd"/>
      <w:r>
        <w:rPr>
          <w:rFonts w:ascii="Times New Roman" w:eastAsia="Times New Roman" w:hAnsi="Times New Roman" w:cs="Times New Roman"/>
          <w:color w:val="000000"/>
          <w:sz w:val="24"/>
          <w:szCs w:val="24"/>
        </w:rPr>
        <w:t xml:space="preserve"> e (UNICENTRO) </w:t>
      </w:r>
      <w:proofErr w:type="spellStart"/>
      <w:r>
        <w:rPr>
          <w:rFonts w:ascii="Times New Roman" w:eastAsia="Times New Roman" w:hAnsi="Times New Roman" w:cs="Times New Roman"/>
          <w:color w:val="000000"/>
          <w:sz w:val="24"/>
          <w:szCs w:val="24"/>
        </w:rPr>
        <w:t>Loremi</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Loregian-Penkal</w:t>
      </w:r>
      <w:proofErr w:type="spellEnd"/>
      <w:r>
        <w:rPr>
          <w:rFonts w:ascii="Times New Roman" w:eastAsia="Times New Roman" w:hAnsi="Times New Roman" w:cs="Times New Roman"/>
          <w:color w:val="000000"/>
          <w:sz w:val="24"/>
          <w:szCs w:val="24"/>
        </w:rPr>
        <w:t xml:space="preserve"> (UNICENTRO), encerram a edição com o artigo </w:t>
      </w:r>
      <w:r>
        <w:rPr>
          <w:rFonts w:ascii="Times New Roman" w:eastAsia="Times New Roman" w:hAnsi="Times New Roman" w:cs="Times New Roman"/>
          <w:i/>
          <w:color w:val="000000"/>
          <w:sz w:val="24"/>
          <w:szCs w:val="24"/>
        </w:rPr>
        <w:t>O fenômeno de elevação da vogal /o/ na fala de descend</w:t>
      </w:r>
      <w:r>
        <w:rPr>
          <w:rFonts w:ascii="Times New Roman" w:eastAsia="Times New Roman" w:hAnsi="Times New Roman" w:cs="Times New Roman"/>
          <w:i/>
          <w:color w:val="000000"/>
          <w:sz w:val="24"/>
          <w:szCs w:val="24"/>
        </w:rPr>
        <w:t xml:space="preserve">entes de eslavos de Irati e </w:t>
      </w:r>
      <w:proofErr w:type="spellStart"/>
      <w:r>
        <w:rPr>
          <w:rFonts w:ascii="Times New Roman" w:eastAsia="Times New Roman" w:hAnsi="Times New Roman" w:cs="Times New Roman"/>
          <w:i/>
          <w:color w:val="000000"/>
          <w:sz w:val="24"/>
          <w:szCs w:val="24"/>
        </w:rPr>
        <w:t>Mallet</w:t>
      </w:r>
      <w:proofErr w:type="spellEnd"/>
      <w:r>
        <w:rPr>
          <w:rFonts w:ascii="Times New Roman" w:eastAsia="Times New Roman" w:hAnsi="Times New Roman" w:cs="Times New Roman"/>
          <w:i/>
          <w:color w:val="000000"/>
          <w:sz w:val="24"/>
          <w:szCs w:val="24"/>
        </w:rPr>
        <w:t xml:space="preserve">, Paraná. </w:t>
      </w:r>
      <w:r>
        <w:rPr>
          <w:rFonts w:ascii="Times New Roman" w:eastAsia="Times New Roman" w:hAnsi="Times New Roman" w:cs="Times New Roman"/>
          <w:color w:val="000000"/>
          <w:sz w:val="24"/>
          <w:szCs w:val="24"/>
        </w:rPr>
        <w:t>Assim</w:t>
      </w:r>
      <w:r>
        <w:rPr>
          <w:rFonts w:ascii="Times New Roman" w:eastAsia="Times New Roman" w:hAnsi="Times New Roman" w:cs="Times New Roman"/>
          <w:i/>
          <w:color w:val="000000"/>
          <w:sz w:val="24"/>
          <w:szCs w:val="24"/>
        </w:rPr>
        <w:t xml:space="preserve">, </w:t>
      </w:r>
      <w:r>
        <w:rPr>
          <w:rFonts w:ascii="Times New Roman" w:eastAsia="Times New Roman" w:hAnsi="Times New Roman" w:cs="Times New Roman"/>
          <w:color w:val="000000"/>
          <w:sz w:val="24"/>
          <w:szCs w:val="24"/>
        </w:rPr>
        <w:t xml:space="preserve">orientadas pelos pressupostos teórico-metodológicos da Sociolinguística </w:t>
      </w:r>
      <w:proofErr w:type="spellStart"/>
      <w:r>
        <w:rPr>
          <w:rFonts w:ascii="Times New Roman" w:eastAsia="Times New Roman" w:hAnsi="Times New Roman" w:cs="Times New Roman"/>
          <w:color w:val="000000"/>
          <w:sz w:val="24"/>
          <w:szCs w:val="24"/>
        </w:rPr>
        <w:t>Variacionista</w:t>
      </w:r>
      <w:proofErr w:type="spellEnd"/>
      <w:r>
        <w:rPr>
          <w:rFonts w:ascii="Times New Roman" w:eastAsia="Times New Roman" w:hAnsi="Times New Roman" w:cs="Times New Roman"/>
          <w:color w:val="000000"/>
          <w:sz w:val="24"/>
          <w:szCs w:val="24"/>
        </w:rPr>
        <w:t xml:space="preserve"> (LABOV, 2008 [1972]), buscam investigar o processo de elevação da vogal média /o/, em posição postônica final, </w:t>
      </w:r>
      <w:r>
        <w:rPr>
          <w:rFonts w:ascii="Times New Roman" w:eastAsia="Times New Roman" w:hAnsi="Times New Roman" w:cs="Times New Roman"/>
          <w:color w:val="222222"/>
          <w:sz w:val="24"/>
          <w:szCs w:val="24"/>
        </w:rPr>
        <w:t xml:space="preserve">na fala </w:t>
      </w:r>
      <w:r>
        <w:rPr>
          <w:rFonts w:ascii="Times New Roman" w:eastAsia="Times New Roman" w:hAnsi="Times New Roman" w:cs="Times New Roman"/>
          <w:color w:val="222222"/>
          <w:sz w:val="24"/>
          <w:szCs w:val="24"/>
        </w:rPr>
        <w:t xml:space="preserve">em língua portuguesa de moradores da zona rural, descendentes de imigrantes eslavos </w:t>
      </w:r>
      <w:r>
        <w:rPr>
          <w:rFonts w:ascii="Times New Roman" w:eastAsia="Times New Roman" w:hAnsi="Times New Roman" w:cs="Times New Roman"/>
          <w:color w:val="000000"/>
          <w:sz w:val="24"/>
          <w:szCs w:val="24"/>
        </w:rPr>
        <w:t>da</w:t>
      </w:r>
      <w:r>
        <w:rPr>
          <w:rFonts w:ascii="Times New Roman" w:eastAsia="Times New Roman" w:hAnsi="Times New Roman" w:cs="Times New Roman"/>
          <w:color w:val="2A6099"/>
          <w:sz w:val="24"/>
          <w:szCs w:val="24"/>
        </w:rPr>
        <w:t xml:space="preserve"> </w:t>
      </w:r>
      <w:r>
        <w:rPr>
          <w:rFonts w:ascii="Times New Roman" w:eastAsia="Times New Roman" w:hAnsi="Times New Roman" w:cs="Times New Roman"/>
          <w:color w:val="000000"/>
          <w:sz w:val="24"/>
          <w:szCs w:val="24"/>
        </w:rPr>
        <w:t xml:space="preserve">região Sudeste do Paraná, mais especificamente de </w:t>
      </w:r>
      <w:r>
        <w:rPr>
          <w:rFonts w:ascii="Times New Roman" w:eastAsia="Times New Roman" w:hAnsi="Times New Roman" w:cs="Times New Roman"/>
          <w:color w:val="222222"/>
          <w:sz w:val="24"/>
          <w:szCs w:val="24"/>
        </w:rPr>
        <w:t xml:space="preserve">Irati e </w:t>
      </w:r>
      <w:proofErr w:type="spellStart"/>
      <w:r>
        <w:rPr>
          <w:rFonts w:ascii="Times New Roman" w:eastAsia="Times New Roman" w:hAnsi="Times New Roman" w:cs="Times New Roman"/>
          <w:color w:val="222222"/>
          <w:sz w:val="24"/>
          <w:szCs w:val="24"/>
        </w:rPr>
        <w:t>Mallet</w:t>
      </w:r>
      <w:proofErr w:type="spellEnd"/>
      <w:r>
        <w:rPr>
          <w:rFonts w:ascii="Times New Roman" w:eastAsia="Times New Roman" w:hAnsi="Times New Roman" w:cs="Times New Roman"/>
          <w:color w:val="222222"/>
          <w:sz w:val="24"/>
          <w:szCs w:val="24"/>
        </w:rPr>
        <w:t>, Paraná. Como destacam as autoras, foram analisadas 48 entrevistas sociolinguísticas estratificadas por sexo, duas faixas etárias</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433FF"/>
          <w:sz w:val="24"/>
          <w:szCs w:val="24"/>
        </w:rPr>
        <w:t xml:space="preserve"> </w:t>
      </w:r>
      <w:r>
        <w:rPr>
          <w:rFonts w:ascii="Times New Roman" w:eastAsia="Times New Roman" w:hAnsi="Times New Roman" w:cs="Times New Roman"/>
          <w:color w:val="000000"/>
          <w:sz w:val="24"/>
          <w:szCs w:val="24"/>
        </w:rPr>
        <w:t>etnia</w:t>
      </w:r>
      <w:r>
        <w:rPr>
          <w:rFonts w:ascii="Times New Roman" w:eastAsia="Times New Roman" w:hAnsi="Times New Roman" w:cs="Times New Roman"/>
          <w:color w:val="222222"/>
          <w:sz w:val="24"/>
          <w:szCs w:val="24"/>
        </w:rPr>
        <w:t xml:space="preserve"> e três níveis de escolaridade, pertencentes ao banco de dados do projeto </w:t>
      </w:r>
      <w:r>
        <w:rPr>
          <w:rFonts w:ascii="Times New Roman" w:eastAsia="Times New Roman" w:hAnsi="Times New Roman" w:cs="Times New Roman"/>
          <w:color w:val="000000"/>
          <w:sz w:val="24"/>
          <w:szCs w:val="24"/>
        </w:rPr>
        <w:t>Variação Linguística de Fala Es</w:t>
      </w:r>
      <w:r>
        <w:rPr>
          <w:rFonts w:ascii="Times New Roman" w:eastAsia="Times New Roman" w:hAnsi="Times New Roman" w:cs="Times New Roman"/>
          <w:color w:val="000000"/>
          <w:sz w:val="24"/>
          <w:szCs w:val="24"/>
        </w:rPr>
        <w:t>lava, VARLINFE. Logo, de acordo com as autoras, os resultados apontam uma baixa ocorrência de elevação da vogal analisada.</w:t>
      </w:r>
    </w:p>
    <w:p w14:paraId="0000001C" w14:textId="3C4D5822" w:rsidR="0058255A" w:rsidRDefault="00F36B80">
      <w:pPr>
        <w:pBdr>
          <w:top w:val="nil"/>
          <w:left w:val="nil"/>
          <w:bottom w:val="nil"/>
          <w:right w:val="nil"/>
          <w:between w:val="nil"/>
        </w:pBdr>
        <w:spacing w:after="0" w:line="360" w:lineRule="auto"/>
        <w:ind w:left="0"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 partir daquilo que defendemos na introdução, nos encaminhamos para uma possibilidade de fechamento, em suas muitas condições de ser</w:t>
      </w:r>
      <w:r>
        <w:rPr>
          <w:rFonts w:ascii="Times New Roman" w:eastAsia="Times New Roman" w:hAnsi="Times New Roman" w:cs="Times New Roman"/>
          <w:sz w:val="24"/>
          <w:szCs w:val="24"/>
        </w:rPr>
        <w:t xml:space="preserve"> e não ser, “palavras finais”. Delimitar um final, um ponto de chegada seria entrar em contradição, considerando o texto como um objeto simbólico, tal como aprendemos com </w:t>
      </w:r>
      <w:proofErr w:type="spellStart"/>
      <w:r>
        <w:rPr>
          <w:rFonts w:ascii="Times New Roman" w:eastAsia="Times New Roman" w:hAnsi="Times New Roman" w:cs="Times New Roman"/>
          <w:sz w:val="24"/>
          <w:szCs w:val="24"/>
        </w:rPr>
        <w:t>Orlandi</w:t>
      </w:r>
      <w:proofErr w:type="spellEnd"/>
      <w:r>
        <w:rPr>
          <w:rFonts w:ascii="Times New Roman" w:eastAsia="Times New Roman" w:hAnsi="Times New Roman" w:cs="Times New Roman"/>
          <w:sz w:val="24"/>
          <w:szCs w:val="24"/>
        </w:rPr>
        <w:t xml:space="preserve"> (2001). Portanto, não fechamos. Colocamos em suspenso as formulações, pois, f</w:t>
      </w:r>
      <w:r>
        <w:rPr>
          <w:rFonts w:ascii="Times New Roman" w:eastAsia="Times New Roman" w:hAnsi="Times New Roman" w:cs="Times New Roman"/>
          <w:sz w:val="24"/>
          <w:szCs w:val="24"/>
        </w:rPr>
        <w:t>ormular, segundo a autora, é dar corpo aos sentidos, abrindo espaço para que o sujeito possa dizer, sempre no entremeio, nos (</w:t>
      </w:r>
      <w:proofErr w:type="spellStart"/>
      <w:r>
        <w:rPr>
          <w:rFonts w:ascii="Times New Roman" w:eastAsia="Times New Roman" w:hAnsi="Times New Roman" w:cs="Times New Roman"/>
          <w:sz w:val="24"/>
          <w:szCs w:val="24"/>
        </w:rPr>
        <w:t>des</w:t>
      </w:r>
      <w:proofErr w:type="spellEnd"/>
      <w:r>
        <w:rPr>
          <w:rFonts w:ascii="Times New Roman" w:eastAsia="Times New Roman" w:hAnsi="Times New Roman" w:cs="Times New Roman"/>
          <w:sz w:val="24"/>
          <w:szCs w:val="24"/>
        </w:rPr>
        <w:t>)limites da língua e da teoria, num espaço de incompletude, de busca, de retornos possíveis e de (</w:t>
      </w:r>
      <w:proofErr w:type="spellStart"/>
      <w:r>
        <w:rPr>
          <w:rFonts w:ascii="Times New Roman" w:eastAsia="Times New Roman" w:hAnsi="Times New Roman" w:cs="Times New Roman"/>
          <w:sz w:val="24"/>
          <w:szCs w:val="24"/>
        </w:rPr>
        <w:t>des</w:t>
      </w:r>
      <w:proofErr w:type="spellEnd"/>
      <w:r>
        <w:rPr>
          <w:rFonts w:ascii="Times New Roman" w:eastAsia="Times New Roman" w:hAnsi="Times New Roman" w:cs="Times New Roman"/>
          <w:sz w:val="24"/>
          <w:szCs w:val="24"/>
        </w:rPr>
        <w:t xml:space="preserve">)encontros. </w:t>
      </w:r>
    </w:p>
    <w:p w14:paraId="0000001D" w14:textId="77777777" w:rsidR="0058255A" w:rsidRDefault="0058255A">
      <w:pPr>
        <w:pBdr>
          <w:top w:val="nil"/>
          <w:left w:val="nil"/>
          <w:bottom w:val="nil"/>
          <w:right w:val="nil"/>
          <w:between w:val="nil"/>
        </w:pBdr>
        <w:spacing w:after="0" w:line="360" w:lineRule="auto"/>
        <w:ind w:left="0" w:hanging="2"/>
        <w:jc w:val="both"/>
        <w:rPr>
          <w:rFonts w:ascii="Times New Roman" w:eastAsia="Times New Roman" w:hAnsi="Times New Roman" w:cs="Times New Roman"/>
          <w:color w:val="000000"/>
          <w:sz w:val="24"/>
          <w:szCs w:val="24"/>
        </w:rPr>
      </w:pPr>
    </w:p>
    <w:p w14:paraId="0000001E" w14:textId="77777777" w:rsidR="0058255A" w:rsidRDefault="00F36B80">
      <w:pPr>
        <w:pBdr>
          <w:top w:val="nil"/>
          <w:left w:val="nil"/>
          <w:bottom w:val="nil"/>
          <w:right w:val="nil"/>
          <w:between w:val="nil"/>
        </w:pBdr>
        <w:spacing w:before="280" w:after="0" w:line="360" w:lineRule="auto"/>
        <w:ind w:left="0" w:hanging="2"/>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color w:val="000000"/>
          <w:sz w:val="24"/>
          <w:szCs w:val="24"/>
        </w:rPr>
        <w:t xml:space="preserve">       Referências</w:t>
      </w:r>
    </w:p>
    <w:p w14:paraId="0000001F" w14:textId="77777777" w:rsidR="0058255A" w:rsidRDefault="00F36B80">
      <w:pPr>
        <w:pBdr>
          <w:top w:val="nil"/>
          <w:left w:val="nil"/>
          <w:bottom w:val="nil"/>
          <w:right w:val="nil"/>
          <w:between w:val="nil"/>
        </w:pBdr>
        <w:spacing w:before="280" w:after="0" w:line="360" w:lineRule="auto"/>
        <w:ind w:left="0" w:hanging="2"/>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BARTHES, Roland. </w:t>
      </w:r>
      <w:r>
        <w:rPr>
          <w:rFonts w:ascii="Times New Roman" w:eastAsia="Times New Roman" w:hAnsi="Times New Roman" w:cs="Times New Roman"/>
          <w:b/>
          <w:color w:val="000000"/>
          <w:sz w:val="24"/>
          <w:szCs w:val="24"/>
        </w:rPr>
        <w:t>Aula</w:t>
      </w:r>
      <w:r>
        <w:rPr>
          <w:rFonts w:ascii="Times New Roman" w:eastAsia="Times New Roman" w:hAnsi="Times New Roman" w:cs="Times New Roman"/>
          <w:color w:val="000000"/>
          <w:sz w:val="24"/>
          <w:szCs w:val="24"/>
        </w:rPr>
        <w:t xml:space="preserve">. 10ª. ed. São Paulo: </w:t>
      </w:r>
      <w:proofErr w:type="spellStart"/>
      <w:r>
        <w:rPr>
          <w:rFonts w:ascii="Times New Roman" w:eastAsia="Times New Roman" w:hAnsi="Times New Roman" w:cs="Times New Roman"/>
          <w:color w:val="000000"/>
          <w:sz w:val="24"/>
          <w:szCs w:val="24"/>
        </w:rPr>
        <w:t>Cultrix</w:t>
      </w:r>
      <w:proofErr w:type="spellEnd"/>
      <w:r>
        <w:rPr>
          <w:rFonts w:ascii="Times New Roman" w:eastAsia="Times New Roman" w:hAnsi="Times New Roman" w:cs="Times New Roman"/>
          <w:color w:val="000000"/>
          <w:sz w:val="24"/>
          <w:szCs w:val="24"/>
        </w:rPr>
        <w:t>, 2007.</w:t>
      </w:r>
    </w:p>
    <w:p w14:paraId="00000020" w14:textId="77777777" w:rsidR="0058255A" w:rsidRDefault="00F36B80">
      <w:pPr>
        <w:pBdr>
          <w:top w:val="nil"/>
          <w:left w:val="nil"/>
          <w:bottom w:val="nil"/>
          <w:right w:val="nil"/>
          <w:between w:val="nil"/>
        </w:pBdr>
        <w:spacing w:before="280" w:after="0" w:line="360" w:lineRule="auto"/>
        <w:ind w:left="0" w:hanging="2"/>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GAGNEBIN, Jeanne Marie. </w:t>
      </w:r>
      <w:r>
        <w:rPr>
          <w:rFonts w:ascii="Times New Roman" w:eastAsia="Times New Roman" w:hAnsi="Times New Roman" w:cs="Times New Roman"/>
          <w:b/>
          <w:color w:val="000000"/>
          <w:sz w:val="24"/>
          <w:szCs w:val="24"/>
        </w:rPr>
        <w:t>Lembrar, escrever, esquecer</w:t>
      </w:r>
      <w:r>
        <w:rPr>
          <w:rFonts w:ascii="Times New Roman" w:eastAsia="Times New Roman" w:hAnsi="Times New Roman" w:cs="Times New Roman"/>
          <w:color w:val="000000"/>
          <w:sz w:val="24"/>
          <w:szCs w:val="24"/>
        </w:rPr>
        <w:t>. São Paulo: Editora 34, 2006.</w:t>
      </w:r>
    </w:p>
    <w:p w14:paraId="00000021" w14:textId="77777777" w:rsidR="0058255A" w:rsidRDefault="00F36B80">
      <w:pPr>
        <w:pBdr>
          <w:top w:val="nil"/>
          <w:left w:val="nil"/>
          <w:bottom w:val="nil"/>
          <w:right w:val="nil"/>
          <w:between w:val="nil"/>
        </w:pBdr>
        <w:spacing w:before="280" w:after="0" w:line="360" w:lineRule="auto"/>
        <w:ind w:left="0"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ORLANDI, </w:t>
      </w:r>
      <w:proofErr w:type="spellStart"/>
      <w:r>
        <w:rPr>
          <w:rFonts w:ascii="Times New Roman" w:eastAsia="Times New Roman" w:hAnsi="Times New Roman" w:cs="Times New Roman"/>
          <w:sz w:val="24"/>
          <w:szCs w:val="24"/>
        </w:rPr>
        <w:t>Eni</w:t>
      </w:r>
      <w:proofErr w:type="spellEnd"/>
      <w:r>
        <w:rPr>
          <w:rFonts w:ascii="Times New Roman" w:eastAsia="Times New Roman" w:hAnsi="Times New Roman" w:cs="Times New Roman"/>
          <w:sz w:val="24"/>
          <w:szCs w:val="24"/>
        </w:rPr>
        <w:t xml:space="preserve">. P. </w:t>
      </w:r>
      <w:r>
        <w:rPr>
          <w:rFonts w:ascii="Times New Roman" w:eastAsia="Times New Roman" w:hAnsi="Times New Roman" w:cs="Times New Roman"/>
          <w:b/>
          <w:sz w:val="24"/>
          <w:szCs w:val="24"/>
        </w:rPr>
        <w:t>Discurso e texto</w:t>
      </w:r>
      <w:r>
        <w:rPr>
          <w:rFonts w:ascii="Times New Roman" w:eastAsia="Times New Roman" w:hAnsi="Times New Roman" w:cs="Times New Roman"/>
          <w:sz w:val="24"/>
          <w:szCs w:val="24"/>
        </w:rPr>
        <w:t xml:space="preserve">. Formulação e circulação dos sentidos. São Paulo: Pontes, 2001. </w:t>
      </w:r>
    </w:p>
    <w:p w14:paraId="00000022" w14:textId="77777777" w:rsidR="0058255A" w:rsidRDefault="0058255A">
      <w:pPr>
        <w:ind w:left="0" w:hanging="2"/>
      </w:pPr>
      <w:bookmarkStart w:id="2" w:name="_GoBack"/>
      <w:bookmarkEnd w:id="2"/>
    </w:p>
    <w:sectPr w:rsidR="0058255A">
      <w:pgSz w:w="11906" w:h="16838"/>
      <w:pgMar w:top="720" w:right="720" w:bottom="720" w:left="72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itstream Vera Sans">
    <w:panose1 w:val="020B0604020202020204"/>
    <w:charset w:val="00"/>
    <w:family w:val="roman"/>
    <w:notTrueType/>
    <w:pitch w:val="default"/>
  </w:font>
  <w:font w:name="Arial">
    <w:panose1 w:val="020B0604020202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55A"/>
    <w:rsid w:val="005410C4"/>
    <w:rsid w:val="0058255A"/>
    <w:rsid w:val="00F36B8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4:docId w14:val="73ECD932"/>
  <w15:docId w15:val="{56CCC526-6559-8B4C-A0C4-DC39D99D1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ind w:leftChars="-1" w:left="-1" w:hangingChars="1" w:hanging="1"/>
      <w:textDirection w:val="btLr"/>
      <w:textAlignment w:val="top"/>
      <w:outlineLvl w:val="0"/>
    </w:pPr>
    <w:rPr>
      <w:position w:val="-1"/>
      <w:lang w:eastAsia="en-US"/>
    </w:rPr>
  </w:style>
  <w:style w:type="paragraph" w:styleId="Ttulo1">
    <w:name w:val="heading 1"/>
    <w:basedOn w:val="Normal"/>
    <w:next w:val="Normal"/>
    <w:uiPriority w:val="9"/>
    <w:qFormat/>
    <w:pPr>
      <w:keepNext/>
      <w:keepLines/>
      <w:spacing w:before="480" w:after="12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uiPriority w:val="9"/>
    <w:semiHidden/>
    <w:unhideWhenUsed/>
    <w:qFormat/>
    <w:pPr>
      <w:spacing w:before="40" w:after="0" w:line="240" w:lineRule="auto"/>
      <w:outlineLvl w:val="2"/>
    </w:pPr>
    <w:rPr>
      <w:rFonts w:ascii="Times New Roman" w:eastAsia="Times New Roman" w:hAnsi="Times New Roman" w:cs="Times New Roman"/>
      <w:b/>
      <w:bCs/>
      <w:color w:val="000000"/>
      <w:sz w:val="27"/>
      <w:szCs w:val="27"/>
      <w:lang w:eastAsia="pt-BR"/>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customStyle="1" w:styleId="western">
    <w:name w:val="western"/>
    <w:basedOn w:val="Normal"/>
    <w:pPr>
      <w:spacing w:before="100" w:beforeAutospacing="1" w:after="119" w:line="240" w:lineRule="auto"/>
    </w:pPr>
    <w:rPr>
      <w:rFonts w:ascii="Times New Roman" w:eastAsia="Times New Roman" w:hAnsi="Times New Roman" w:cs="Times New Roman"/>
      <w:sz w:val="24"/>
      <w:szCs w:val="24"/>
      <w:lang w:eastAsia="pt-BR"/>
    </w:rPr>
  </w:style>
  <w:style w:type="paragraph" w:customStyle="1" w:styleId="Padro">
    <w:name w:val="Padrão"/>
    <w:pPr>
      <w:widowControl w:val="0"/>
      <w:tabs>
        <w:tab w:val="left" w:pos="708"/>
      </w:tabs>
      <w:overflowPunct w:val="0"/>
      <w:spacing w:line="100" w:lineRule="atLeast"/>
      <w:ind w:leftChars="-1" w:left="-1" w:hangingChars="1" w:hanging="1"/>
      <w:textDirection w:val="btLr"/>
      <w:textAlignment w:val="top"/>
      <w:outlineLvl w:val="0"/>
    </w:pPr>
    <w:rPr>
      <w:rFonts w:ascii="Times New Roman" w:eastAsia="Bitstream Vera Sans" w:hAnsi="Times New Roman" w:cs="Bitstream Vera Sans"/>
      <w:color w:val="00000A"/>
      <w:kern w:val="1"/>
      <w:position w:val="-1"/>
      <w:sz w:val="24"/>
      <w:szCs w:val="24"/>
      <w:lang w:eastAsia="zh-CN" w:bidi="hi-IN"/>
    </w:rPr>
  </w:style>
  <w:style w:type="character" w:styleId="Hyperlink">
    <w:name w:val="Hyperlink"/>
    <w:qFormat/>
    <w:rPr>
      <w:color w:val="0000FF"/>
      <w:w w:val="100"/>
      <w:position w:val="-1"/>
      <w:u w:val="single"/>
      <w:effect w:val="none"/>
      <w:vertAlign w:val="baseline"/>
      <w:cs w:val="0"/>
      <w:em w:val="none"/>
    </w:rPr>
  </w:style>
  <w:style w:type="paragraph" w:styleId="NormalWeb">
    <w:name w:val="Normal (Web)"/>
    <w:basedOn w:val="Normal"/>
    <w:qFormat/>
    <w:pPr>
      <w:spacing w:before="100" w:beforeAutospacing="1" w:after="119" w:line="240" w:lineRule="auto"/>
    </w:pPr>
    <w:rPr>
      <w:rFonts w:ascii="Times New Roman" w:eastAsia="Times New Roman" w:hAnsi="Times New Roman" w:cs="Times New Roman"/>
      <w:sz w:val="24"/>
      <w:szCs w:val="24"/>
      <w:lang w:eastAsia="pt-BR"/>
    </w:rPr>
  </w:style>
  <w:style w:type="character" w:customStyle="1" w:styleId="Ttulo3Char">
    <w:name w:val="Título 3 Char"/>
    <w:rPr>
      <w:rFonts w:ascii="Times New Roman" w:eastAsia="Times New Roman" w:hAnsi="Times New Roman" w:cs="Times New Roman"/>
      <w:b/>
      <w:bCs/>
      <w:color w:val="000000"/>
      <w:w w:val="100"/>
      <w:position w:val="-1"/>
      <w:sz w:val="27"/>
      <w:szCs w:val="27"/>
      <w:effect w:val="none"/>
      <w:vertAlign w:val="baseline"/>
      <w:cs w:val="0"/>
      <w:em w:val="none"/>
      <w:lang w:eastAsia="pt-BR"/>
    </w:rPr>
  </w:style>
  <w:style w:type="paragraph" w:customStyle="1" w:styleId="Normal0">
    <w:name w:val="Normal0"/>
    <w:pPr>
      <w:spacing w:line="276" w:lineRule="auto"/>
      <w:ind w:leftChars="-1" w:left="-1" w:hangingChars="1" w:hanging="1"/>
      <w:textDirection w:val="btLr"/>
      <w:textAlignment w:val="top"/>
      <w:outlineLvl w:val="0"/>
    </w:pPr>
    <w:rPr>
      <w:rFonts w:ascii="Arial" w:eastAsia="Arial" w:hAnsi="Arial" w:cs="Arial"/>
      <w:position w:val="-1"/>
      <w:lang w:val="en-GB" w:eastAsia="ja-JP"/>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yzyowlAHXFilrmPRtdl2kub2A==">CgMxLjAyCGguZ2pkZ3hzMgloLjMwajB6bGw4AHIhMUduU1pWQm1nYTE1MlhNZnAwS0UwRS1EQzN0N1NmNVdQ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2899</Words>
  <Characters>15658</Characters>
  <Application>Microsoft Office Word</Application>
  <DocSecurity>0</DocSecurity>
  <Lines>130</Lines>
  <Paragraphs>37</Paragraphs>
  <ScaleCrop>false</ScaleCrop>
  <Company/>
  <LinksUpToDate>false</LinksUpToDate>
  <CharactersWithSpaces>18520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marilda aparecida lachovski</dc:creator>
  <cp:lastModifiedBy>Microsoft Office User</cp:lastModifiedBy>
  <cp:revision>3</cp:revision>
  <dcterms:created xsi:type="dcterms:W3CDTF">2024-08-30T11:00:00Z</dcterms:created>
  <dcterms:modified xsi:type="dcterms:W3CDTF">2024-08-30T11:05:00Z</dcterms:modified>
</cp:coreProperties>
</file>